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3.xml" ContentType="application/vnd.openxmlformats-officedocument.themeOverrid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4.xml" ContentType="application/vnd.openxmlformats-officedocument.themeOverride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1F0C" w14:textId="77777777" w:rsidR="00EA1F6C" w:rsidRPr="0058008E" w:rsidRDefault="00EA1F6C" w:rsidP="00BF4F34">
      <w:pPr>
        <w:jc w:val="center"/>
        <w:rPr>
          <w:b/>
          <w:bCs/>
          <w:sz w:val="24"/>
          <w:szCs w:val="24"/>
        </w:rPr>
      </w:pPr>
      <w:r w:rsidRPr="0058008E">
        <w:rPr>
          <w:b/>
          <w:bCs/>
          <w:sz w:val="24"/>
          <w:szCs w:val="24"/>
        </w:rPr>
        <w:t>WYKONANIE BUDŻETU MIASTA SOPOTU</w:t>
      </w:r>
    </w:p>
    <w:p w14:paraId="5B33FB68" w14:textId="77C7882B" w:rsidR="00EA1F6C" w:rsidRPr="0058008E" w:rsidRDefault="008E4E06" w:rsidP="00BF4F34">
      <w:pPr>
        <w:jc w:val="center"/>
        <w:rPr>
          <w:b/>
          <w:sz w:val="24"/>
          <w:szCs w:val="24"/>
        </w:rPr>
      </w:pPr>
      <w:r w:rsidRPr="0058008E">
        <w:rPr>
          <w:b/>
          <w:sz w:val="24"/>
          <w:szCs w:val="24"/>
        </w:rPr>
        <w:t>za o</w:t>
      </w:r>
      <w:r w:rsidR="005D3499" w:rsidRPr="0058008E">
        <w:rPr>
          <w:b/>
          <w:sz w:val="24"/>
          <w:szCs w:val="24"/>
        </w:rPr>
        <w:t>kres od 01.01.20</w:t>
      </w:r>
      <w:r w:rsidR="00E073D9" w:rsidRPr="0058008E">
        <w:rPr>
          <w:b/>
          <w:sz w:val="24"/>
          <w:szCs w:val="24"/>
        </w:rPr>
        <w:t>2</w:t>
      </w:r>
      <w:r w:rsidR="003A056D" w:rsidRPr="0058008E">
        <w:rPr>
          <w:b/>
          <w:sz w:val="24"/>
          <w:szCs w:val="24"/>
        </w:rPr>
        <w:t>5</w:t>
      </w:r>
      <w:r w:rsidR="005D3499" w:rsidRPr="0058008E">
        <w:rPr>
          <w:b/>
          <w:sz w:val="24"/>
          <w:szCs w:val="24"/>
        </w:rPr>
        <w:t xml:space="preserve"> do 31.12.20</w:t>
      </w:r>
      <w:r w:rsidR="00E073D9" w:rsidRPr="0058008E">
        <w:rPr>
          <w:b/>
          <w:sz w:val="24"/>
          <w:szCs w:val="24"/>
        </w:rPr>
        <w:t>2</w:t>
      </w:r>
      <w:r w:rsidR="003A056D" w:rsidRPr="0058008E">
        <w:rPr>
          <w:b/>
          <w:sz w:val="24"/>
          <w:szCs w:val="24"/>
        </w:rPr>
        <w:t>5</w:t>
      </w:r>
      <w:r w:rsidR="00EA1F6C" w:rsidRPr="0058008E">
        <w:rPr>
          <w:b/>
          <w:sz w:val="24"/>
          <w:szCs w:val="24"/>
        </w:rPr>
        <w:t xml:space="preserve"> r.</w:t>
      </w:r>
    </w:p>
    <w:p w14:paraId="74409BEC" w14:textId="77777777" w:rsidR="000541EE" w:rsidRPr="0058008E" w:rsidRDefault="000541EE" w:rsidP="00033F97">
      <w:pPr>
        <w:jc w:val="both"/>
        <w:rPr>
          <w:b/>
          <w:color w:val="EE0000"/>
          <w:sz w:val="24"/>
          <w:szCs w:val="24"/>
        </w:rPr>
      </w:pPr>
    </w:p>
    <w:p w14:paraId="6DAA9016" w14:textId="18A04264" w:rsidR="00267B04" w:rsidRPr="0058008E" w:rsidRDefault="00EA1F6C" w:rsidP="00033F97">
      <w:pPr>
        <w:jc w:val="both"/>
        <w:rPr>
          <w:sz w:val="24"/>
          <w:szCs w:val="24"/>
        </w:rPr>
      </w:pPr>
      <w:r w:rsidRPr="0058008E">
        <w:rPr>
          <w:b/>
          <w:color w:val="EE0000"/>
          <w:sz w:val="24"/>
          <w:szCs w:val="24"/>
        </w:rPr>
        <w:tab/>
      </w:r>
      <w:r w:rsidR="00E65FA4" w:rsidRPr="0058008E">
        <w:rPr>
          <w:sz w:val="24"/>
          <w:szCs w:val="24"/>
        </w:rPr>
        <w:t>Budżet miasta Sopotu na 20</w:t>
      </w:r>
      <w:r w:rsidR="00E073D9" w:rsidRPr="0058008E">
        <w:rPr>
          <w:sz w:val="24"/>
          <w:szCs w:val="24"/>
        </w:rPr>
        <w:t>2</w:t>
      </w:r>
      <w:r w:rsidR="003A056D" w:rsidRPr="0058008E">
        <w:rPr>
          <w:sz w:val="24"/>
          <w:szCs w:val="24"/>
        </w:rPr>
        <w:t>5</w:t>
      </w:r>
      <w:r w:rsidRPr="0058008E">
        <w:rPr>
          <w:sz w:val="24"/>
          <w:szCs w:val="24"/>
        </w:rPr>
        <w:t xml:space="preserve"> rok uchwalony został </w:t>
      </w:r>
      <w:r w:rsidR="00267B04" w:rsidRPr="0058008E">
        <w:rPr>
          <w:sz w:val="24"/>
          <w:szCs w:val="24"/>
        </w:rPr>
        <w:t xml:space="preserve">przez Radę Miasta </w:t>
      </w:r>
    </w:p>
    <w:p w14:paraId="436696CD" w14:textId="5F90D874" w:rsidR="00EA1F6C" w:rsidRPr="0058008E" w:rsidRDefault="00267B04" w:rsidP="00033F97">
      <w:pPr>
        <w:jc w:val="both"/>
        <w:rPr>
          <w:sz w:val="24"/>
          <w:szCs w:val="24"/>
        </w:rPr>
      </w:pPr>
      <w:r w:rsidRPr="0058008E">
        <w:rPr>
          <w:sz w:val="24"/>
          <w:szCs w:val="24"/>
        </w:rPr>
        <w:t xml:space="preserve">Sopotu w </w:t>
      </w:r>
      <w:r w:rsidR="00EA1F6C" w:rsidRPr="0058008E">
        <w:rPr>
          <w:sz w:val="24"/>
          <w:szCs w:val="24"/>
        </w:rPr>
        <w:t>dniu</w:t>
      </w:r>
      <w:r w:rsidR="00AE591E" w:rsidRPr="0058008E">
        <w:rPr>
          <w:sz w:val="24"/>
          <w:szCs w:val="24"/>
        </w:rPr>
        <w:t xml:space="preserve"> </w:t>
      </w:r>
      <w:r w:rsidR="002E22D6" w:rsidRPr="0058008E">
        <w:rPr>
          <w:sz w:val="24"/>
          <w:szCs w:val="24"/>
        </w:rPr>
        <w:t>1</w:t>
      </w:r>
      <w:r w:rsidR="003A056D" w:rsidRPr="0058008E">
        <w:rPr>
          <w:sz w:val="24"/>
          <w:szCs w:val="24"/>
        </w:rPr>
        <w:t>9</w:t>
      </w:r>
      <w:r w:rsidR="00443C4A" w:rsidRPr="0058008E">
        <w:rPr>
          <w:sz w:val="24"/>
          <w:szCs w:val="24"/>
        </w:rPr>
        <w:t xml:space="preserve"> </w:t>
      </w:r>
      <w:r w:rsidR="003A056D" w:rsidRPr="0058008E">
        <w:rPr>
          <w:sz w:val="24"/>
          <w:szCs w:val="24"/>
        </w:rPr>
        <w:t>grudnia</w:t>
      </w:r>
      <w:r w:rsidR="00443C4A" w:rsidRPr="0058008E">
        <w:rPr>
          <w:sz w:val="24"/>
          <w:szCs w:val="24"/>
        </w:rPr>
        <w:t xml:space="preserve"> 20</w:t>
      </w:r>
      <w:r w:rsidR="00047DBF" w:rsidRPr="0058008E">
        <w:rPr>
          <w:sz w:val="24"/>
          <w:szCs w:val="24"/>
        </w:rPr>
        <w:t>2</w:t>
      </w:r>
      <w:r w:rsidR="003A056D" w:rsidRPr="0058008E">
        <w:rPr>
          <w:sz w:val="24"/>
          <w:szCs w:val="24"/>
        </w:rPr>
        <w:t>4</w:t>
      </w:r>
      <w:r w:rsidR="004560F8" w:rsidRPr="0058008E">
        <w:rPr>
          <w:sz w:val="24"/>
          <w:szCs w:val="24"/>
        </w:rPr>
        <w:t xml:space="preserve"> roku</w:t>
      </w:r>
      <w:r w:rsidR="00EA1F6C" w:rsidRPr="0058008E">
        <w:rPr>
          <w:rStyle w:val="Odwoanieprzypisudolnego"/>
          <w:sz w:val="24"/>
          <w:szCs w:val="24"/>
        </w:rPr>
        <w:footnoteReference w:id="1"/>
      </w:r>
      <w:r w:rsidR="00EA1F6C" w:rsidRPr="0058008E">
        <w:rPr>
          <w:sz w:val="24"/>
          <w:szCs w:val="24"/>
        </w:rPr>
        <w:t xml:space="preserve"> i zakładał, że:</w:t>
      </w:r>
    </w:p>
    <w:p w14:paraId="51B40539" w14:textId="77777777" w:rsidR="00EA1F6C" w:rsidRPr="0058008E" w:rsidRDefault="00EA1F6C" w:rsidP="00033F97">
      <w:pPr>
        <w:jc w:val="both"/>
        <w:rPr>
          <w:color w:val="EE0000"/>
          <w:sz w:val="24"/>
          <w:szCs w:val="24"/>
        </w:rPr>
      </w:pPr>
    </w:p>
    <w:p w14:paraId="023931E1" w14:textId="1B63C839" w:rsidR="00CE2853" w:rsidRPr="0058008E" w:rsidRDefault="00EA1F6C" w:rsidP="008A5517">
      <w:pPr>
        <w:numPr>
          <w:ilvl w:val="0"/>
          <w:numId w:val="1"/>
        </w:numPr>
        <w:tabs>
          <w:tab w:val="clear" w:pos="360"/>
          <w:tab w:val="num" w:pos="720"/>
        </w:tabs>
        <w:ind w:left="720" w:hanging="578"/>
        <w:jc w:val="both"/>
        <w:rPr>
          <w:sz w:val="24"/>
          <w:szCs w:val="24"/>
        </w:rPr>
      </w:pPr>
      <w:r w:rsidRPr="0058008E">
        <w:rPr>
          <w:b/>
          <w:i/>
          <w:sz w:val="24"/>
          <w:szCs w:val="24"/>
        </w:rPr>
        <w:t>prognozowane dochody</w:t>
      </w:r>
      <w:r w:rsidRPr="0058008E">
        <w:rPr>
          <w:i/>
          <w:sz w:val="24"/>
          <w:szCs w:val="24"/>
        </w:rPr>
        <w:t xml:space="preserve"> </w:t>
      </w:r>
      <w:r w:rsidRPr="0058008E">
        <w:rPr>
          <w:sz w:val="24"/>
          <w:szCs w:val="24"/>
        </w:rPr>
        <w:t>wyni</w:t>
      </w:r>
      <w:r w:rsidR="009128DE" w:rsidRPr="0058008E">
        <w:rPr>
          <w:sz w:val="24"/>
          <w:szCs w:val="24"/>
        </w:rPr>
        <w:t>eść miały</w:t>
      </w:r>
      <w:r w:rsidRPr="0058008E">
        <w:rPr>
          <w:sz w:val="24"/>
          <w:szCs w:val="24"/>
        </w:rPr>
        <w:tab/>
      </w:r>
      <w:r w:rsidR="00093EE7" w:rsidRPr="0058008E">
        <w:rPr>
          <w:sz w:val="24"/>
          <w:szCs w:val="24"/>
        </w:rPr>
        <w:t xml:space="preserve">       </w:t>
      </w:r>
      <w:r w:rsidR="00686731" w:rsidRPr="0058008E">
        <w:rPr>
          <w:b/>
          <w:i/>
          <w:sz w:val="24"/>
          <w:szCs w:val="24"/>
        </w:rPr>
        <w:t>533</w:t>
      </w:r>
      <w:r w:rsidR="005D3499" w:rsidRPr="0058008E">
        <w:rPr>
          <w:b/>
          <w:i/>
          <w:sz w:val="24"/>
          <w:szCs w:val="24"/>
        </w:rPr>
        <w:t>.</w:t>
      </w:r>
      <w:r w:rsidR="00686731" w:rsidRPr="0058008E">
        <w:rPr>
          <w:b/>
          <w:i/>
          <w:sz w:val="24"/>
          <w:szCs w:val="24"/>
        </w:rPr>
        <w:t>400</w:t>
      </w:r>
      <w:r w:rsidR="00F41529" w:rsidRPr="0058008E">
        <w:rPr>
          <w:b/>
          <w:i/>
          <w:sz w:val="24"/>
          <w:szCs w:val="24"/>
        </w:rPr>
        <w:t>.</w:t>
      </w:r>
      <w:r w:rsidR="00686731" w:rsidRPr="0058008E">
        <w:rPr>
          <w:b/>
          <w:i/>
          <w:sz w:val="24"/>
          <w:szCs w:val="24"/>
        </w:rPr>
        <w:t>0</w:t>
      </w:r>
      <w:r w:rsidR="007A3AAF" w:rsidRPr="0058008E">
        <w:rPr>
          <w:b/>
          <w:i/>
          <w:sz w:val="24"/>
          <w:szCs w:val="24"/>
        </w:rPr>
        <w:t>0</w:t>
      </w:r>
      <w:r w:rsidR="00047DBF" w:rsidRPr="0058008E">
        <w:rPr>
          <w:b/>
          <w:i/>
          <w:sz w:val="24"/>
          <w:szCs w:val="24"/>
        </w:rPr>
        <w:t>0</w:t>
      </w:r>
      <w:r w:rsidRPr="0058008E">
        <w:rPr>
          <w:b/>
          <w:i/>
          <w:sz w:val="24"/>
          <w:szCs w:val="24"/>
        </w:rPr>
        <w:t xml:space="preserve"> zł</w:t>
      </w:r>
    </w:p>
    <w:p w14:paraId="673B33DE" w14:textId="77777777" w:rsidR="00EA1F6C" w:rsidRPr="0058008E" w:rsidRDefault="00EA1F6C" w:rsidP="00033F97">
      <w:pPr>
        <w:ind w:firstLine="709"/>
        <w:jc w:val="both"/>
        <w:rPr>
          <w:sz w:val="24"/>
          <w:szCs w:val="24"/>
        </w:rPr>
      </w:pPr>
      <w:r w:rsidRPr="0058008E">
        <w:rPr>
          <w:sz w:val="24"/>
          <w:szCs w:val="24"/>
        </w:rPr>
        <w:t>natomiast</w:t>
      </w:r>
    </w:p>
    <w:p w14:paraId="6541AF27" w14:textId="5D57AC51" w:rsidR="00EA1F6C" w:rsidRPr="0058008E" w:rsidRDefault="00EA1F6C" w:rsidP="00F47B4D">
      <w:pPr>
        <w:numPr>
          <w:ilvl w:val="0"/>
          <w:numId w:val="2"/>
        </w:numPr>
        <w:tabs>
          <w:tab w:val="num" w:pos="720"/>
        </w:tabs>
        <w:ind w:hanging="578"/>
        <w:jc w:val="both"/>
        <w:rPr>
          <w:i/>
          <w:sz w:val="24"/>
          <w:szCs w:val="24"/>
        </w:rPr>
      </w:pPr>
      <w:r w:rsidRPr="0058008E">
        <w:rPr>
          <w:b/>
          <w:i/>
          <w:sz w:val="24"/>
          <w:szCs w:val="24"/>
        </w:rPr>
        <w:t>planowane wydatki</w:t>
      </w:r>
      <w:r w:rsidRPr="0058008E">
        <w:rPr>
          <w:i/>
          <w:sz w:val="24"/>
          <w:szCs w:val="24"/>
        </w:rPr>
        <w:t xml:space="preserve"> </w:t>
      </w:r>
      <w:r w:rsidRPr="0058008E">
        <w:rPr>
          <w:sz w:val="24"/>
          <w:szCs w:val="24"/>
        </w:rPr>
        <w:t>nie przekroczą limitu</w:t>
      </w:r>
      <w:r w:rsidR="00093EE7" w:rsidRPr="0058008E">
        <w:rPr>
          <w:sz w:val="24"/>
          <w:szCs w:val="24"/>
        </w:rPr>
        <w:t xml:space="preserve">     </w:t>
      </w:r>
      <w:r w:rsidR="009132A3">
        <w:rPr>
          <w:sz w:val="24"/>
          <w:szCs w:val="24"/>
        </w:rPr>
        <w:t xml:space="preserve">     </w:t>
      </w:r>
      <w:r w:rsidR="002E22D6" w:rsidRPr="0058008E">
        <w:rPr>
          <w:b/>
          <w:i/>
          <w:sz w:val="24"/>
          <w:szCs w:val="24"/>
        </w:rPr>
        <w:t>5</w:t>
      </w:r>
      <w:r w:rsidR="00686731" w:rsidRPr="0058008E">
        <w:rPr>
          <w:b/>
          <w:i/>
          <w:sz w:val="24"/>
          <w:szCs w:val="24"/>
        </w:rPr>
        <w:t>9</w:t>
      </w:r>
      <w:r w:rsidR="002E22D6" w:rsidRPr="0058008E">
        <w:rPr>
          <w:b/>
          <w:i/>
          <w:sz w:val="24"/>
          <w:szCs w:val="24"/>
        </w:rPr>
        <w:t>0.</w:t>
      </w:r>
      <w:r w:rsidR="00686731" w:rsidRPr="0058008E">
        <w:rPr>
          <w:b/>
          <w:i/>
          <w:sz w:val="24"/>
          <w:szCs w:val="24"/>
        </w:rPr>
        <w:t>262</w:t>
      </w:r>
      <w:r w:rsidR="002E22D6" w:rsidRPr="0058008E">
        <w:rPr>
          <w:b/>
          <w:i/>
          <w:sz w:val="24"/>
          <w:szCs w:val="24"/>
        </w:rPr>
        <w:t>.</w:t>
      </w:r>
      <w:r w:rsidR="00686731" w:rsidRPr="0058008E">
        <w:rPr>
          <w:b/>
          <w:i/>
          <w:sz w:val="24"/>
          <w:szCs w:val="24"/>
        </w:rPr>
        <w:t>0</w:t>
      </w:r>
      <w:r w:rsidR="002E22D6" w:rsidRPr="0058008E">
        <w:rPr>
          <w:b/>
          <w:i/>
          <w:sz w:val="24"/>
          <w:szCs w:val="24"/>
        </w:rPr>
        <w:t>00</w:t>
      </w:r>
      <w:r w:rsidRPr="0058008E">
        <w:rPr>
          <w:b/>
          <w:i/>
          <w:sz w:val="24"/>
          <w:szCs w:val="24"/>
        </w:rPr>
        <w:t xml:space="preserve"> zł</w:t>
      </w:r>
    </w:p>
    <w:p w14:paraId="23E96467" w14:textId="77777777" w:rsidR="005E0341" w:rsidRPr="0058008E" w:rsidRDefault="005E0341" w:rsidP="00F41529">
      <w:pPr>
        <w:pStyle w:val="Tekstpodstawowy"/>
        <w:jc w:val="both"/>
        <w:rPr>
          <w:rFonts w:ascii="Times New Roman" w:hAnsi="Times New Roman"/>
          <w:color w:val="EE0000"/>
          <w:szCs w:val="24"/>
        </w:rPr>
      </w:pPr>
    </w:p>
    <w:p w14:paraId="4BBD9936" w14:textId="30807745" w:rsidR="00F41529" w:rsidRPr="0058008E" w:rsidRDefault="00F41529" w:rsidP="00F41529">
      <w:pPr>
        <w:pStyle w:val="Tekstpodstawowy"/>
        <w:jc w:val="both"/>
        <w:rPr>
          <w:rFonts w:ascii="Times New Roman" w:hAnsi="Times New Roman"/>
          <w:color w:val="EE0000"/>
          <w:szCs w:val="24"/>
        </w:rPr>
      </w:pPr>
      <w:r w:rsidRPr="0058008E">
        <w:rPr>
          <w:rFonts w:ascii="Times New Roman" w:hAnsi="Times New Roman"/>
          <w:szCs w:val="24"/>
        </w:rPr>
        <w:t xml:space="preserve">Źródłem pokrycia planowanego </w:t>
      </w:r>
      <w:r w:rsidR="005D3499" w:rsidRPr="0058008E">
        <w:rPr>
          <w:rFonts w:ascii="Times New Roman" w:hAnsi="Times New Roman"/>
          <w:szCs w:val="24"/>
        </w:rPr>
        <w:t xml:space="preserve">w kwocie </w:t>
      </w:r>
      <w:r w:rsidR="00686731" w:rsidRPr="0058008E">
        <w:rPr>
          <w:rFonts w:ascii="Times New Roman" w:hAnsi="Times New Roman"/>
          <w:szCs w:val="24"/>
        </w:rPr>
        <w:t>56.862.000</w:t>
      </w:r>
      <w:r w:rsidRPr="0058008E">
        <w:rPr>
          <w:rFonts w:ascii="Times New Roman" w:hAnsi="Times New Roman"/>
          <w:szCs w:val="24"/>
        </w:rPr>
        <w:t xml:space="preserve"> zł defic</w:t>
      </w:r>
      <w:r w:rsidR="005D3499" w:rsidRPr="0058008E">
        <w:rPr>
          <w:rFonts w:ascii="Times New Roman" w:hAnsi="Times New Roman"/>
          <w:szCs w:val="24"/>
        </w:rPr>
        <w:t xml:space="preserve">ytu budżetowego miały być </w:t>
      </w:r>
      <w:r w:rsidRPr="0058008E">
        <w:rPr>
          <w:rFonts w:ascii="Times New Roman" w:hAnsi="Times New Roman"/>
          <w:szCs w:val="24"/>
        </w:rPr>
        <w:t>śro</w:t>
      </w:r>
      <w:r w:rsidR="005D3499" w:rsidRPr="0058008E">
        <w:rPr>
          <w:rFonts w:ascii="Times New Roman" w:hAnsi="Times New Roman"/>
          <w:szCs w:val="24"/>
        </w:rPr>
        <w:t xml:space="preserve">dki finansowe pochodzące </w:t>
      </w:r>
      <w:r w:rsidR="009A38B3" w:rsidRPr="0058008E">
        <w:rPr>
          <w:rFonts w:ascii="Times New Roman" w:hAnsi="Times New Roman"/>
          <w:szCs w:val="24"/>
        </w:rPr>
        <w:t xml:space="preserve">z </w:t>
      </w:r>
      <w:r w:rsidR="005D3499" w:rsidRPr="0058008E">
        <w:rPr>
          <w:rFonts w:ascii="Times New Roman" w:hAnsi="Times New Roman"/>
          <w:szCs w:val="24"/>
        </w:rPr>
        <w:t xml:space="preserve">emisji </w:t>
      </w:r>
      <w:r w:rsidR="000541EE" w:rsidRPr="0058008E">
        <w:rPr>
          <w:rFonts w:ascii="Times New Roman" w:hAnsi="Times New Roman"/>
          <w:szCs w:val="24"/>
        </w:rPr>
        <w:t>obligacji</w:t>
      </w:r>
      <w:r w:rsidR="00E073D9" w:rsidRPr="0058008E">
        <w:rPr>
          <w:rFonts w:ascii="Times New Roman" w:hAnsi="Times New Roman"/>
          <w:szCs w:val="24"/>
        </w:rPr>
        <w:t xml:space="preserve"> (</w:t>
      </w:r>
      <w:r w:rsidR="004B7112" w:rsidRPr="0058008E">
        <w:rPr>
          <w:rFonts w:ascii="Times New Roman" w:hAnsi="Times New Roman"/>
          <w:szCs w:val="24"/>
        </w:rPr>
        <w:t>54</w:t>
      </w:r>
      <w:r w:rsidR="00E073D9" w:rsidRPr="0058008E">
        <w:rPr>
          <w:rFonts w:ascii="Times New Roman" w:hAnsi="Times New Roman"/>
          <w:szCs w:val="24"/>
        </w:rPr>
        <w:t>.</w:t>
      </w:r>
      <w:r w:rsidR="004B7112" w:rsidRPr="0058008E">
        <w:rPr>
          <w:rFonts w:ascii="Times New Roman" w:hAnsi="Times New Roman"/>
          <w:szCs w:val="24"/>
        </w:rPr>
        <w:t>0</w:t>
      </w:r>
      <w:r w:rsidR="00E073D9" w:rsidRPr="0058008E">
        <w:rPr>
          <w:rFonts w:ascii="Times New Roman" w:hAnsi="Times New Roman"/>
          <w:szCs w:val="24"/>
        </w:rPr>
        <w:t xml:space="preserve">00.000 </w:t>
      </w:r>
      <w:r w:rsidR="00150E9C" w:rsidRPr="0058008E">
        <w:rPr>
          <w:rFonts w:ascii="Times New Roman" w:hAnsi="Times New Roman"/>
          <w:szCs w:val="24"/>
        </w:rPr>
        <w:t>zł)</w:t>
      </w:r>
      <w:r w:rsidR="004B7112" w:rsidRPr="0058008E">
        <w:rPr>
          <w:rFonts w:ascii="Times New Roman" w:hAnsi="Times New Roman"/>
          <w:szCs w:val="24"/>
        </w:rPr>
        <w:t>, ze spłaty udzielonych pożyczek (294.000 zł)</w:t>
      </w:r>
      <w:r w:rsidR="00150E9C" w:rsidRPr="0058008E">
        <w:rPr>
          <w:rFonts w:ascii="Times New Roman" w:hAnsi="Times New Roman"/>
          <w:szCs w:val="24"/>
        </w:rPr>
        <w:t xml:space="preserve"> </w:t>
      </w:r>
      <w:r w:rsidR="00156FD8" w:rsidRPr="0058008E">
        <w:rPr>
          <w:rFonts w:ascii="Times New Roman" w:hAnsi="Times New Roman"/>
          <w:szCs w:val="24"/>
        </w:rPr>
        <w:t>oraz</w:t>
      </w:r>
      <w:r w:rsidR="00E073D9" w:rsidRPr="0058008E">
        <w:rPr>
          <w:rFonts w:ascii="Times New Roman" w:hAnsi="Times New Roman"/>
          <w:szCs w:val="24"/>
        </w:rPr>
        <w:t xml:space="preserve"> </w:t>
      </w:r>
      <w:r w:rsidR="00DC264F" w:rsidRPr="0058008E">
        <w:rPr>
          <w:rFonts w:ascii="Times New Roman" w:hAnsi="Times New Roman"/>
          <w:szCs w:val="24"/>
        </w:rPr>
        <w:t>tzw. wolnych</w:t>
      </w:r>
      <w:r w:rsidR="00E073D9" w:rsidRPr="0058008E">
        <w:rPr>
          <w:rFonts w:ascii="Times New Roman" w:hAnsi="Times New Roman"/>
          <w:szCs w:val="24"/>
        </w:rPr>
        <w:t xml:space="preserve"> środków (</w:t>
      </w:r>
      <w:r w:rsidR="00156FD8" w:rsidRPr="0058008E">
        <w:rPr>
          <w:rFonts w:ascii="Times New Roman" w:hAnsi="Times New Roman"/>
          <w:szCs w:val="24"/>
        </w:rPr>
        <w:t>2.568.000</w:t>
      </w:r>
      <w:r w:rsidR="00E073D9" w:rsidRPr="0058008E">
        <w:rPr>
          <w:rFonts w:ascii="Times New Roman" w:hAnsi="Times New Roman"/>
          <w:szCs w:val="24"/>
        </w:rPr>
        <w:t xml:space="preserve"> zł)</w:t>
      </w:r>
      <w:r w:rsidRPr="0058008E">
        <w:rPr>
          <w:rFonts w:ascii="Times New Roman" w:hAnsi="Times New Roman"/>
          <w:szCs w:val="24"/>
        </w:rPr>
        <w:t xml:space="preserve">. </w:t>
      </w:r>
    </w:p>
    <w:p w14:paraId="43AB85A2" w14:textId="77777777" w:rsidR="008C408E" w:rsidRPr="0058008E" w:rsidRDefault="008C408E" w:rsidP="005E0341">
      <w:pPr>
        <w:pStyle w:val="Tekstpodstawowy"/>
        <w:jc w:val="both"/>
        <w:rPr>
          <w:rFonts w:ascii="Times New Roman" w:hAnsi="Times New Roman"/>
          <w:color w:val="EE0000"/>
          <w:szCs w:val="24"/>
        </w:rPr>
      </w:pPr>
    </w:p>
    <w:p w14:paraId="7709F2F0" w14:textId="3B73A4EE" w:rsidR="006707CB" w:rsidRPr="0058008E" w:rsidRDefault="00EA1F6C" w:rsidP="00156FD8">
      <w:pPr>
        <w:pStyle w:val="Tekstpodstawowy"/>
        <w:jc w:val="both"/>
        <w:rPr>
          <w:rFonts w:ascii="Times New Roman" w:hAnsi="Times New Roman"/>
          <w:szCs w:val="24"/>
        </w:rPr>
      </w:pPr>
      <w:r w:rsidRPr="0058008E">
        <w:rPr>
          <w:rFonts w:ascii="Times New Roman" w:hAnsi="Times New Roman"/>
          <w:szCs w:val="24"/>
        </w:rPr>
        <w:t>W planie budżetowym przewi</w:t>
      </w:r>
      <w:r w:rsidR="00200F76" w:rsidRPr="0058008E">
        <w:rPr>
          <w:rFonts w:ascii="Times New Roman" w:hAnsi="Times New Roman"/>
          <w:szCs w:val="24"/>
        </w:rPr>
        <w:t>dziano równi</w:t>
      </w:r>
      <w:r w:rsidR="006749D4" w:rsidRPr="0058008E">
        <w:rPr>
          <w:rFonts w:ascii="Times New Roman" w:hAnsi="Times New Roman"/>
          <w:szCs w:val="24"/>
        </w:rPr>
        <w:t xml:space="preserve">eż kwotę </w:t>
      </w:r>
      <w:bookmarkStart w:id="0" w:name="_Hlk224649996"/>
      <w:r w:rsidR="00156FD8" w:rsidRPr="0058008E">
        <w:rPr>
          <w:rFonts w:ascii="Times New Roman" w:hAnsi="Times New Roman"/>
          <w:szCs w:val="24"/>
        </w:rPr>
        <w:t>20</w:t>
      </w:r>
      <w:r w:rsidR="005B155D" w:rsidRPr="0058008E">
        <w:rPr>
          <w:rFonts w:ascii="Times New Roman" w:hAnsi="Times New Roman"/>
          <w:szCs w:val="24"/>
        </w:rPr>
        <w:t>.</w:t>
      </w:r>
      <w:r w:rsidR="00156FD8" w:rsidRPr="0058008E">
        <w:rPr>
          <w:rFonts w:ascii="Times New Roman" w:hAnsi="Times New Roman"/>
          <w:szCs w:val="24"/>
        </w:rPr>
        <w:t>864</w:t>
      </w:r>
      <w:r w:rsidR="006749D4" w:rsidRPr="0058008E">
        <w:rPr>
          <w:rFonts w:ascii="Times New Roman" w:hAnsi="Times New Roman"/>
          <w:szCs w:val="24"/>
        </w:rPr>
        <w:t>.</w:t>
      </w:r>
      <w:r w:rsidR="00DD07E7" w:rsidRPr="0058008E">
        <w:rPr>
          <w:rFonts w:ascii="Times New Roman" w:hAnsi="Times New Roman"/>
          <w:szCs w:val="24"/>
        </w:rPr>
        <w:t>7</w:t>
      </w:r>
      <w:r w:rsidR="00156FD8" w:rsidRPr="0058008E">
        <w:rPr>
          <w:rFonts w:ascii="Times New Roman" w:hAnsi="Times New Roman"/>
          <w:szCs w:val="24"/>
        </w:rPr>
        <w:t>47</w:t>
      </w:r>
      <w:r w:rsidRPr="0058008E">
        <w:rPr>
          <w:rFonts w:ascii="Times New Roman" w:hAnsi="Times New Roman"/>
          <w:szCs w:val="24"/>
        </w:rPr>
        <w:t xml:space="preserve"> zł </w:t>
      </w:r>
      <w:bookmarkEnd w:id="0"/>
      <w:r w:rsidRPr="0058008E">
        <w:rPr>
          <w:rFonts w:ascii="Times New Roman" w:hAnsi="Times New Roman"/>
          <w:szCs w:val="24"/>
        </w:rPr>
        <w:t xml:space="preserve">z tytułu </w:t>
      </w:r>
      <w:r w:rsidRPr="0058008E">
        <w:rPr>
          <w:rFonts w:ascii="Times New Roman" w:hAnsi="Times New Roman"/>
          <w:b/>
          <w:i/>
          <w:szCs w:val="24"/>
        </w:rPr>
        <w:t xml:space="preserve">rozchodów </w:t>
      </w:r>
      <w:r w:rsidRPr="0058008E">
        <w:rPr>
          <w:rFonts w:ascii="Times New Roman" w:hAnsi="Times New Roman"/>
          <w:szCs w:val="24"/>
        </w:rPr>
        <w:t>tj. środków finansowych przeznaczonych na</w:t>
      </w:r>
      <w:r w:rsidR="006D0CE0" w:rsidRPr="0058008E">
        <w:rPr>
          <w:rFonts w:ascii="Times New Roman" w:hAnsi="Times New Roman"/>
          <w:szCs w:val="24"/>
        </w:rPr>
        <w:t xml:space="preserve"> spłatę zobowiązań</w:t>
      </w:r>
      <w:r w:rsidR="00F41529" w:rsidRPr="0058008E">
        <w:rPr>
          <w:rFonts w:ascii="Times New Roman" w:hAnsi="Times New Roman"/>
          <w:szCs w:val="24"/>
        </w:rPr>
        <w:t xml:space="preserve"> </w:t>
      </w:r>
      <w:r w:rsidR="006D0CE0" w:rsidRPr="0058008E">
        <w:rPr>
          <w:rFonts w:ascii="Times New Roman" w:hAnsi="Times New Roman"/>
          <w:szCs w:val="24"/>
        </w:rPr>
        <w:t xml:space="preserve">wynikających </w:t>
      </w:r>
      <w:r w:rsidRPr="0058008E">
        <w:rPr>
          <w:rFonts w:ascii="Times New Roman" w:hAnsi="Times New Roman"/>
          <w:szCs w:val="24"/>
        </w:rPr>
        <w:t>z zaciągniętych przez Gminę</w:t>
      </w:r>
      <w:r w:rsidR="003702D1" w:rsidRPr="0058008E">
        <w:rPr>
          <w:rFonts w:ascii="Times New Roman" w:hAnsi="Times New Roman"/>
          <w:szCs w:val="24"/>
        </w:rPr>
        <w:t xml:space="preserve"> w latach poprzednich kredytów</w:t>
      </w:r>
      <w:r w:rsidR="00A17F2B" w:rsidRPr="0058008E">
        <w:rPr>
          <w:rFonts w:ascii="Times New Roman" w:hAnsi="Times New Roman"/>
          <w:szCs w:val="24"/>
        </w:rPr>
        <w:t xml:space="preserve"> </w:t>
      </w:r>
      <w:r w:rsidR="00156FD8" w:rsidRPr="0058008E">
        <w:rPr>
          <w:rFonts w:ascii="Times New Roman" w:hAnsi="Times New Roman"/>
          <w:szCs w:val="24"/>
        </w:rPr>
        <w:br/>
      </w:r>
      <w:r w:rsidR="00A17F2B" w:rsidRPr="0058008E">
        <w:rPr>
          <w:rFonts w:ascii="Times New Roman" w:hAnsi="Times New Roman"/>
          <w:szCs w:val="24"/>
        </w:rPr>
        <w:t>i wyemitowanych obligacji</w:t>
      </w:r>
      <w:r w:rsidR="00A66C54" w:rsidRPr="0058008E">
        <w:rPr>
          <w:rFonts w:ascii="Times New Roman" w:hAnsi="Times New Roman"/>
          <w:szCs w:val="24"/>
        </w:rPr>
        <w:t>,</w:t>
      </w:r>
      <w:r w:rsidR="003702D1" w:rsidRPr="0058008E">
        <w:rPr>
          <w:rFonts w:ascii="Times New Roman" w:hAnsi="Times New Roman"/>
          <w:szCs w:val="24"/>
        </w:rPr>
        <w:t xml:space="preserve"> </w:t>
      </w:r>
      <w:r w:rsidR="007C569F" w:rsidRPr="0058008E">
        <w:rPr>
          <w:rFonts w:ascii="Times New Roman" w:hAnsi="Times New Roman"/>
          <w:szCs w:val="24"/>
        </w:rPr>
        <w:t>które spłacone miały być</w:t>
      </w:r>
      <w:r w:rsidR="00A417EE" w:rsidRPr="0058008E">
        <w:rPr>
          <w:rFonts w:ascii="Times New Roman" w:hAnsi="Times New Roman"/>
          <w:szCs w:val="24"/>
        </w:rPr>
        <w:t xml:space="preserve"> przychodami</w:t>
      </w:r>
      <w:r w:rsidR="002C496F" w:rsidRPr="0058008E">
        <w:rPr>
          <w:rFonts w:ascii="Times New Roman" w:hAnsi="Times New Roman"/>
          <w:szCs w:val="24"/>
        </w:rPr>
        <w:t xml:space="preserve"> </w:t>
      </w:r>
      <w:r w:rsidR="00F47B4D" w:rsidRPr="0058008E">
        <w:rPr>
          <w:rFonts w:ascii="Times New Roman" w:hAnsi="Times New Roman"/>
          <w:szCs w:val="24"/>
        </w:rPr>
        <w:t xml:space="preserve">z </w:t>
      </w:r>
      <w:r w:rsidR="00835FE8" w:rsidRPr="0058008E">
        <w:rPr>
          <w:rFonts w:ascii="Times New Roman" w:hAnsi="Times New Roman"/>
          <w:szCs w:val="24"/>
        </w:rPr>
        <w:t>tzw.” wolny</w:t>
      </w:r>
      <w:r w:rsidR="00F47B4D" w:rsidRPr="0058008E">
        <w:rPr>
          <w:rFonts w:ascii="Times New Roman" w:hAnsi="Times New Roman"/>
          <w:szCs w:val="24"/>
        </w:rPr>
        <w:t>ch</w:t>
      </w:r>
      <w:r w:rsidR="005D3499" w:rsidRPr="0058008E">
        <w:rPr>
          <w:rFonts w:ascii="Times New Roman" w:hAnsi="Times New Roman"/>
          <w:szCs w:val="24"/>
        </w:rPr>
        <w:t xml:space="preserve"> środk</w:t>
      </w:r>
      <w:r w:rsidR="00F47B4D" w:rsidRPr="0058008E">
        <w:rPr>
          <w:rFonts w:ascii="Times New Roman" w:hAnsi="Times New Roman"/>
          <w:szCs w:val="24"/>
        </w:rPr>
        <w:t>ów</w:t>
      </w:r>
      <w:r w:rsidR="005D3499" w:rsidRPr="0058008E">
        <w:rPr>
          <w:rFonts w:ascii="Times New Roman" w:hAnsi="Times New Roman"/>
          <w:szCs w:val="24"/>
        </w:rPr>
        <w:t>”</w:t>
      </w:r>
      <w:r w:rsidR="004B77AA" w:rsidRPr="0058008E">
        <w:rPr>
          <w:rFonts w:ascii="Times New Roman" w:hAnsi="Times New Roman"/>
          <w:szCs w:val="24"/>
        </w:rPr>
        <w:t>.</w:t>
      </w:r>
      <w:r w:rsidR="00156FD8" w:rsidRPr="0058008E">
        <w:rPr>
          <w:rFonts w:ascii="Times New Roman" w:hAnsi="Times New Roman"/>
          <w:szCs w:val="24"/>
        </w:rPr>
        <w:t xml:space="preserve"> </w:t>
      </w:r>
      <w:r w:rsidR="00AF7AF2" w:rsidRPr="0058008E">
        <w:rPr>
          <w:rFonts w:ascii="Times New Roman" w:hAnsi="Times New Roman"/>
          <w:szCs w:val="24"/>
        </w:rPr>
        <w:t xml:space="preserve">Zaplanowano także </w:t>
      </w:r>
      <w:r w:rsidR="00A17F2B" w:rsidRPr="0058008E">
        <w:rPr>
          <w:rFonts w:ascii="Times New Roman" w:hAnsi="Times New Roman"/>
          <w:szCs w:val="24"/>
        </w:rPr>
        <w:t xml:space="preserve">środki na </w:t>
      </w:r>
      <w:r w:rsidR="00AF7AF2" w:rsidRPr="0058008E">
        <w:rPr>
          <w:rFonts w:ascii="Times New Roman" w:hAnsi="Times New Roman"/>
          <w:szCs w:val="24"/>
        </w:rPr>
        <w:t xml:space="preserve">udzielenie pożyczek w kwocie </w:t>
      </w:r>
      <w:r w:rsidR="002C496F" w:rsidRPr="0058008E">
        <w:rPr>
          <w:rFonts w:ascii="Times New Roman" w:hAnsi="Times New Roman"/>
          <w:szCs w:val="24"/>
        </w:rPr>
        <w:t>5</w:t>
      </w:r>
      <w:r w:rsidR="00AF7AF2" w:rsidRPr="0058008E">
        <w:rPr>
          <w:rFonts w:ascii="Times New Roman" w:hAnsi="Times New Roman"/>
          <w:szCs w:val="24"/>
        </w:rPr>
        <w:t>00.000 zł</w:t>
      </w:r>
      <w:r w:rsidR="00F47B4D" w:rsidRPr="0058008E">
        <w:rPr>
          <w:rFonts w:ascii="Times New Roman" w:hAnsi="Times New Roman"/>
          <w:szCs w:val="24"/>
        </w:rPr>
        <w:t>.</w:t>
      </w:r>
    </w:p>
    <w:p w14:paraId="53B9D1A7" w14:textId="77777777" w:rsidR="00AF7AF2" w:rsidRPr="0058008E" w:rsidRDefault="00AF7AF2" w:rsidP="00033F97">
      <w:pPr>
        <w:pStyle w:val="Tekstpodstawowy2"/>
        <w:jc w:val="both"/>
        <w:rPr>
          <w:rFonts w:ascii="Times New Roman" w:hAnsi="Times New Roman"/>
          <w:i w:val="0"/>
          <w:sz w:val="24"/>
          <w:szCs w:val="24"/>
        </w:rPr>
      </w:pPr>
    </w:p>
    <w:p w14:paraId="1AACE63C" w14:textId="032517FF" w:rsidR="007505A8" w:rsidRPr="0058008E" w:rsidRDefault="00A945FB" w:rsidP="00033F97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i w:val="0"/>
          <w:sz w:val="24"/>
          <w:szCs w:val="24"/>
        </w:rPr>
        <w:t>Rada Miasta Sopotu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w</w:t>
      </w:r>
      <w:r w:rsidR="00EA1F6C" w:rsidRPr="0058008E">
        <w:rPr>
          <w:rFonts w:ascii="Times New Roman" w:hAnsi="Times New Roman"/>
          <w:b w:val="0"/>
          <w:i w:val="0"/>
          <w:sz w:val="24"/>
        </w:rPr>
        <w:t xml:space="preserve"> trakcie roku do pierwotnego budżetu, </w:t>
      </w:r>
      <w:r w:rsidR="004560F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wprowadziła zmiany </w:t>
      </w:r>
      <w:r w:rsidR="002279B1" w:rsidRPr="0058008E">
        <w:rPr>
          <w:rFonts w:ascii="Times New Roman" w:hAnsi="Times New Roman"/>
          <w:b w:val="0"/>
          <w:i w:val="0"/>
          <w:sz w:val="24"/>
          <w:szCs w:val="24"/>
        </w:rPr>
        <w:t>zwiększ</w:t>
      </w:r>
      <w:r w:rsidR="00D4744D" w:rsidRPr="0058008E">
        <w:rPr>
          <w:rFonts w:ascii="Times New Roman" w:hAnsi="Times New Roman"/>
          <w:b w:val="0"/>
          <w:i w:val="0"/>
          <w:sz w:val="24"/>
          <w:szCs w:val="24"/>
        </w:rPr>
        <w:t>ające</w:t>
      </w:r>
      <w:r w:rsidR="0072235A" w:rsidRPr="0058008E">
        <w:rPr>
          <w:rFonts w:ascii="Times New Roman" w:hAnsi="Times New Roman"/>
          <w:b w:val="0"/>
          <w:sz w:val="24"/>
          <w:szCs w:val="24"/>
        </w:rPr>
        <w:t xml:space="preserve"> </w:t>
      </w:r>
      <w:r w:rsidR="0072235A" w:rsidRPr="0058008E">
        <w:rPr>
          <w:rFonts w:ascii="Times New Roman" w:hAnsi="Times New Roman"/>
          <w:b w:val="0"/>
          <w:sz w:val="24"/>
          <w:szCs w:val="24"/>
          <w:u w:val="single"/>
        </w:rPr>
        <w:t>dochod</w:t>
      </w:r>
      <w:r w:rsidR="00D4744D" w:rsidRPr="0058008E">
        <w:rPr>
          <w:rFonts w:ascii="Times New Roman" w:hAnsi="Times New Roman"/>
          <w:b w:val="0"/>
          <w:sz w:val="24"/>
          <w:szCs w:val="24"/>
          <w:u w:val="single"/>
        </w:rPr>
        <w:t>y</w:t>
      </w:r>
      <w:r w:rsidR="002E0137" w:rsidRPr="0058008E">
        <w:rPr>
          <w:rFonts w:ascii="Times New Roman" w:hAnsi="Times New Roman"/>
          <w:b w:val="0"/>
          <w:sz w:val="24"/>
          <w:szCs w:val="24"/>
        </w:rPr>
        <w:t xml:space="preserve"> </w:t>
      </w:r>
      <w:r w:rsidR="002E0137" w:rsidRPr="0058008E">
        <w:rPr>
          <w:rFonts w:ascii="Times New Roman" w:hAnsi="Times New Roman"/>
          <w:b w:val="0"/>
          <w:i w:val="0"/>
          <w:sz w:val="24"/>
          <w:szCs w:val="24"/>
        </w:rPr>
        <w:t>o kwotę</w:t>
      </w:r>
      <w:r w:rsidR="002E0137" w:rsidRPr="0058008E">
        <w:rPr>
          <w:rFonts w:ascii="Times New Roman" w:hAnsi="Times New Roman"/>
          <w:b w:val="0"/>
          <w:sz w:val="24"/>
          <w:szCs w:val="24"/>
        </w:rPr>
        <w:t xml:space="preserve"> </w:t>
      </w:r>
      <w:r w:rsidR="0011404E" w:rsidRPr="0058008E">
        <w:rPr>
          <w:rFonts w:ascii="Times New Roman" w:hAnsi="Times New Roman"/>
          <w:b w:val="0"/>
          <w:sz w:val="24"/>
          <w:szCs w:val="24"/>
          <w:u w:val="single"/>
        </w:rPr>
        <w:t>7</w:t>
      </w:r>
      <w:r w:rsidR="0015044B" w:rsidRPr="0058008E">
        <w:rPr>
          <w:rFonts w:ascii="Times New Roman" w:hAnsi="Times New Roman"/>
          <w:b w:val="0"/>
          <w:sz w:val="24"/>
          <w:szCs w:val="24"/>
          <w:u w:val="single"/>
        </w:rPr>
        <w:t>2</w:t>
      </w:r>
      <w:r w:rsidR="00F441C3" w:rsidRPr="0058008E">
        <w:rPr>
          <w:rFonts w:ascii="Times New Roman" w:hAnsi="Times New Roman"/>
          <w:b w:val="0"/>
          <w:sz w:val="24"/>
          <w:szCs w:val="24"/>
          <w:u w:val="single"/>
        </w:rPr>
        <w:t>.</w:t>
      </w:r>
      <w:r w:rsidR="0011404E" w:rsidRPr="0058008E">
        <w:rPr>
          <w:rFonts w:ascii="Times New Roman" w:hAnsi="Times New Roman"/>
          <w:b w:val="0"/>
          <w:sz w:val="24"/>
          <w:szCs w:val="24"/>
          <w:u w:val="single"/>
        </w:rPr>
        <w:t>337</w:t>
      </w:r>
      <w:r w:rsidR="00F441C3" w:rsidRPr="0058008E">
        <w:rPr>
          <w:rFonts w:ascii="Times New Roman" w:hAnsi="Times New Roman"/>
          <w:b w:val="0"/>
          <w:sz w:val="24"/>
          <w:szCs w:val="24"/>
          <w:u w:val="single"/>
        </w:rPr>
        <w:t>.</w:t>
      </w:r>
      <w:r w:rsidR="0011404E" w:rsidRPr="0058008E">
        <w:rPr>
          <w:rFonts w:ascii="Times New Roman" w:hAnsi="Times New Roman"/>
          <w:b w:val="0"/>
          <w:sz w:val="24"/>
          <w:szCs w:val="24"/>
          <w:u w:val="single"/>
        </w:rPr>
        <w:t>271</w:t>
      </w:r>
      <w:r w:rsidR="002E0137" w:rsidRPr="0058008E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5E4815" w:rsidRPr="0058008E">
        <w:rPr>
          <w:rFonts w:ascii="Times New Roman" w:hAnsi="Times New Roman"/>
          <w:b w:val="0"/>
          <w:sz w:val="24"/>
          <w:szCs w:val="24"/>
          <w:u w:val="single"/>
        </w:rPr>
        <w:t>zł i</w:t>
      </w:r>
      <w:r w:rsidR="0072235A" w:rsidRPr="0058008E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286907" w:rsidRPr="0058008E">
        <w:rPr>
          <w:rFonts w:ascii="Times New Roman" w:hAnsi="Times New Roman"/>
          <w:b w:val="0"/>
          <w:sz w:val="24"/>
          <w:szCs w:val="24"/>
          <w:u w:val="single"/>
        </w:rPr>
        <w:t>wydatk</w:t>
      </w:r>
      <w:r w:rsidR="00D4744D" w:rsidRPr="0058008E">
        <w:rPr>
          <w:rFonts w:ascii="Times New Roman" w:hAnsi="Times New Roman"/>
          <w:b w:val="0"/>
          <w:sz w:val="24"/>
          <w:szCs w:val="24"/>
          <w:u w:val="single"/>
        </w:rPr>
        <w:t>i</w:t>
      </w:r>
      <w:r w:rsidR="0028690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o</w:t>
      </w:r>
      <w:r w:rsidR="007505A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1404E" w:rsidRPr="0058008E">
        <w:rPr>
          <w:rFonts w:ascii="Times New Roman" w:hAnsi="Times New Roman"/>
          <w:b w:val="0"/>
          <w:sz w:val="24"/>
          <w:szCs w:val="24"/>
          <w:u w:val="single"/>
        </w:rPr>
        <w:t>25</w:t>
      </w:r>
      <w:r w:rsidR="0015044B" w:rsidRPr="0058008E">
        <w:rPr>
          <w:rFonts w:ascii="Times New Roman" w:hAnsi="Times New Roman"/>
          <w:b w:val="0"/>
          <w:sz w:val="24"/>
          <w:szCs w:val="24"/>
          <w:u w:val="single"/>
        </w:rPr>
        <w:t>.</w:t>
      </w:r>
      <w:r w:rsidR="0011404E" w:rsidRPr="0058008E">
        <w:rPr>
          <w:rFonts w:ascii="Times New Roman" w:hAnsi="Times New Roman"/>
          <w:b w:val="0"/>
          <w:sz w:val="24"/>
          <w:szCs w:val="24"/>
          <w:u w:val="single"/>
        </w:rPr>
        <w:t>769</w:t>
      </w:r>
      <w:r w:rsidR="0015044B" w:rsidRPr="0058008E">
        <w:rPr>
          <w:rFonts w:ascii="Times New Roman" w:hAnsi="Times New Roman"/>
          <w:b w:val="0"/>
          <w:sz w:val="24"/>
          <w:szCs w:val="24"/>
          <w:u w:val="single"/>
        </w:rPr>
        <w:t>.</w:t>
      </w:r>
      <w:r w:rsidR="0011404E" w:rsidRPr="0058008E">
        <w:rPr>
          <w:rFonts w:ascii="Times New Roman" w:hAnsi="Times New Roman"/>
          <w:b w:val="0"/>
          <w:sz w:val="24"/>
          <w:szCs w:val="24"/>
          <w:u w:val="single"/>
        </w:rPr>
        <w:t>271</w:t>
      </w:r>
      <w:r w:rsidR="007505A8" w:rsidRPr="0058008E">
        <w:rPr>
          <w:rFonts w:ascii="Times New Roman" w:hAnsi="Times New Roman"/>
          <w:b w:val="0"/>
          <w:sz w:val="24"/>
          <w:szCs w:val="24"/>
          <w:u w:val="single"/>
        </w:rPr>
        <w:t xml:space="preserve"> zł</w:t>
      </w:r>
      <w:r w:rsidR="003B7451" w:rsidRPr="0058008E">
        <w:rPr>
          <w:rFonts w:ascii="Times New Roman" w:hAnsi="Times New Roman"/>
          <w:b w:val="0"/>
          <w:sz w:val="24"/>
          <w:szCs w:val="24"/>
          <w:u w:val="single"/>
        </w:rPr>
        <w:t>.</w:t>
      </w:r>
    </w:p>
    <w:p w14:paraId="76095B38" w14:textId="77777777" w:rsidR="008C408E" w:rsidRPr="0058008E" w:rsidRDefault="008C408E" w:rsidP="00C76703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5FFD61DD" w14:textId="77777777" w:rsidR="00D84384" w:rsidRPr="0058008E" w:rsidRDefault="00B44563" w:rsidP="00C76703">
      <w:pPr>
        <w:pStyle w:val="Tekstpodstawowy2"/>
        <w:jc w:val="both"/>
        <w:rPr>
          <w:rFonts w:ascii="Times New Roman" w:hAnsi="Times New Roman"/>
          <w:b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W zakresie dochodów najistotniejsze zmiany </w:t>
      </w:r>
      <w:r w:rsidR="00E620DB" w:rsidRPr="0058008E">
        <w:rPr>
          <w:rFonts w:ascii="Times New Roman" w:hAnsi="Times New Roman"/>
          <w:b w:val="0"/>
          <w:i w:val="0"/>
          <w:sz w:val="24"/>
          <w:szCs w:val="24"/>
        </w:rPr>
        <w:t>związane były ze</w:t>
      </w:r>
      <w:r w:rsidR="00C76703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10349" w:rsidRPr="0058008E">
        <w:rPr>
          <w:rFonts w:ascii="Times New Roman" w:hAnsi="Times New Roman"/>
          <w:b w:val="0"/>
          <w:sz w:val="24"/>
          <w:szCs w:val="24"/>
        </w:rPr>
        <w:t>zwiększeni</w:t>
      </w:r>
      <w:r w:rsidR="00E620DB" w:rsidRPr="0058008E">
        <w:rPr>
          <w:rFonts w:ascii="Times New Roman" w:hAnsi="Times New Roman"/>
          <w:b w:val="0"/>
          <w:sz w:val="24"/>
          <w:szCs w:val="24"/>
        </w:rPr>
        <w:t>em</w:t>
      </w:r>
      <w:r w:rsidR="00910349" w:rsidRPr="0058008E">
        <w:rPr>
          <w:rFonts w:ascii="Times New Roman" w:hAnsi="Times New Roman"/>
          <w:b w:val="0"/>
          <w:sz w:val="24"/>
          <w:szCs w:val="24"/>
        </w:rPr>
        <w:t>:</w:t>
      </w:r>
    </w:p>
    <w:p w14:paraId="15A68530" w14:textId="2BF65C16" w:rsidR="00FA2B2A" w:rsidRPr="0058008E" w:rsidRDefault="007A7277" w:rsidP="00FA2B2A">
      <w:pPr>
        <w:pStyle w:val="Tekstpodstawowy2"/>
        <w:numPr>
          <w:ilvl w:val="0"/>
          <w:numId w:val="22"/>
        </w:numPr>
        <w:ind w:left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1" w:name="_Hlk162426691"/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z tytułu uzyskania </w:t>
      </w:r>
      <w:r w:rsidRPr="0058008E">
        <w:rPr>
          <w:rFonts w:ascii="Times New Roman" w:hAnsi="Times New Roman"/>
          <w:b w:val="0"/>
          <w:i w:val="0"/>
          <w:iCs/>
          <w:sz w:val="24"/>
          <w:szCs w:val="24"/>
        </w:rPr>
        <w:t xml:space="preserve">dofinansowania z Rządowego </w:t>
      </w:r>
      <w:r w:rsidR="0073524E" w:rsidRPr="0058008E">
        <w:rPr>
          <w:rFonts w:ascii="Times New Roman" w:hAnsi="Times New Roman"/>
          <w:b w:val="0"/>
          <w:i w:val="0"/>
          <w:iCs/>
          <w:sz w:val="24"/>
          <w:szCs w:val="24"/>
        </w:rPr>
        <w:t>Funduszu</w:t>
      </w:r>
      <w:r w:rsidRPr="0058008E">
        <w:rPr>
          <w:rFonts w:ascii="Times New Roman" w:hAnsi="Times New Roman"/>
          <w:b w:val="0"/>
          <w:i w:val="0"/>
          <w:iCs/>
          <w:sz w:val="24"/>
          <w:szCs w:val="24"/>
        </w:rPr>
        <w:t xml:space="preserve"> Rozwoju Dróg na realizację przebudowy ul. Pułaskiego/Bema w kwocie </w:t>
      </w:r>
      <w:r w:rsidR="003A00F1" w:rsidRPr="0058008E">
        <w:rPr>
          <w:rFonts w:ascii="Times New Roman" w:hAnsi="Times New Roman"/>
          <w:b w:val="0"/>
          <w:i w:val="0"/>
          <w:sz w:val="24"/>
          <w:szCs w:val="24"/>
        </w:rPr>
        <w:t>(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3A00F1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3A00F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bookmarkEnd w:id="1"/>
      <w:r w:rsidR="003A00F1" w:rsidRPr="0058008E">
        <w:rPr>
          <w:rFonts w:ascii="Times New Roman" w:hAnsi="Times New Roman"/>
          <w:b w:val="0"/>
          <w:i w:val="0"/>
          <w:sz w:val="24"/>
          <w:szCs w:val="24"/>
        </w:rPr>
        <w:t>),</w:t>
      </w:r>
    </w:p>
    <w:p w14:paraId="2C79FDCA" w14:textId="20B5F147" w:rsidR="00FA2B2A" w:rsidRPr="0058008E" w:rsidRDefault="00FA2B2A" w:rsidP="00FA2B2A">
      <w:pPr>
        <w:pStyle w:val="Tekstpodstawowy2"/>
        <w:numPr>
          <w:ilvl w:val="0"/>
          <w:numId w:val="22"/>
        </w:numPr>
        <w:ind w:left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z tytułu uzyskania dofinansowania z Banku Gospodarstwa Krajowego </w:t>
      </w:r>
      <w:r w:rsidR="0073524E" w:rsidRPr="0058008E">
        <w:rPr>
          <w:rFonts w:ascii="Times New Roman" w:hAnsi="Times New Roman"/>
          <w:b w:val="0"/>
          <w:i w:val="0"/>
          <w:sz w:val="24"/>
          <w:szCs w:val="24"/>
        </w:rPr>
        <w:t xml:space="preserve">do budownictwa mieszkaniowego 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w kwocie (17,9 mln zł,) </w:t>
      </w:r>
    </w:p>
    <w:p w14:paraId="1BD3BD19" w14:textId="6645A7BC" w:rsidR="00D055F8" w:rsidRPr="0058008E" w:rsidRDefault="00FA2B2A" w:rsidP="000D4E6F">
      <w:pPr>
        <w:numPr>
          <w:ilvl w:val="0"/>
          <w:numId w:val="22"/>
        </w:numPr>
        <w:spacing w:line="276" w:lineRule="auto"/>
        <w:ind w:left="426"/>
        <w:rPr>
          <w:sz w:val="24"/>
          <w:szCs w:val="24"/>
        </w:rPr>
      </w:pPr>
      <w:bookmarkStart w:id="2" w:name="_Hlk162423054"/>
      <w:r w:rsidRPr="0058008E">
        <w:rPr>
          <w:rFonts w:eastAsia="Calibri"/>
          <w:sz w:val="24"/>
          <w:szCs w:val="24"/>
          <w:lang w:eastAsia="en-US"/>
        </w:rPr>
        <w:t xml:space="preserve">rezerwy na uzupełnienie dochodów </w:t>
      </w:r>
      <w:proofErr w:type="spellStart"/>
      <w:r w:rsidRPr="0058008E">
        <w:rPr>
          <w:rFonts w:eastAsia="Calibri"/>
          <w:sz w:val="24"/>
          <w:szCs w:val="24"/>
          <w:lang w:eastAsia="en-US"/>
        </w:rPr>
        <w:t>jst</w:t>
      </w:r>
      <w:proofErr w:type="spellEnd"/>
      <w:r w:rsidR="00D055F8" w:rsidRPr="0058008E">
        <w:rPr>
          <w:rFonts w:eastAsia="Calibri"/>
          <w:sz w:val="24"/>
          <w:szCs w:val="24"/>
          <w:lang w:eastAsia="en-US"/>
        </w:rPr>
        <w:t xml:space="preserve"> na podwyżki dla nauczyciel</w:t>
      </w:r>
      <w:r w:rsidR="003461DD" w:rsidRPr="0058008E">
        <w:rPr>
          <w:rFonts w:eastAsia="Calibri"/>
          <w:sz w:val="24"/>
          <w:szCs w:val="24"/>
          <w:lang w:eastAsia="en-US"/>
        </w:rPr>
        <w:t xml:space="preserve"> w związku ze wzrostem o 5% średnich wynagrodzeń nauczycieli</w:t>
      </w:r>
      <w:r w:rsidR="00D055F8" w:rsidRPr="0058008E">
        <w:rPr>
          <w:rFonts w:eastAsia="Calibri"/>
          <w:sz w:val="24"/>
          <w:szCs w:val="24"/>
          <w:lang w:eastAsia="en-US"/>
        </w:rPr>
        <w:t xml:space="preserve"> (</w:t>
      </w:r>
      <w:r w:rsidRPr="0058008E">
        <w:rPr>
          <w:rFonts w:eastAsia="Calibri"/>
          <w:sz w:val="24"/>
          <w:szCs w:val="24"/>
          <w:lang w:eastAsia="en-US"/>
        </w:rPr>
        <w:t>0,7</w:t>
      </w:r>
      <w:r w:rsidR="00D055F8" w:rsidRPr="0058008E">
        <w:rPr>
          <w:rFonts w:eastAsia="Calibri"/>
          <w:sz w:val="24"/>
          <w:szCs w:val="24"/>
          <w:lang w:eastAsia="en-US"/>
        </w:rPr>
        <w:t xml:space="preserve"> mln zł),</w:t>
      </w:r>
    </w:p>
    <w:p w14:paraId="74B010C5" w14:textId="1422AA7B" w:rsidR="007A7277" w:rsidRPr="0058008E" w:rsidRDefault="007A7277" w:rsidP="00066698">
      <w:pPr>
        <w:numPr>
          <w:ilvl w:val="0"/>
          <w:numId w:val="22"/>
        </w:numPr>
        <w:spacing w:line="276" w:lineRule="auto"/>
        <w:ind w:left="426"/>
        <w:rPr>
          <w:color w:val="EE0000"/>
          <w:sz w:val="24"/>
          <w:szCs w:val="24"/>
        </w:rPr>
      </w:pPr>
      <w:r w:rsidRPr="0058008E">
        <w:rPr>
          <w:rFonts w:eastAsia="Calibri"/>
          <w:sz w:val="24"/>
          <w:szCs w:val="24"/>
        </w:rPr>
        <w:t>z tytułu uzyskania dofinansowania w ramach Regionalnego Programu Operacyjnego na przebudowę ścieżki rowerowe</w:t>
      </w:r>
      <w:r w:rsidR="0073524E" w:rsidRPr="0058008E">
        <w:rPr>
          <w:rFonts w:eastAsia="Calibri"/>
          <w:sz w:val="24"/>
          <w:szCs w:val="24"/>
        </w:rPr>
        <w:t>j</w:t>
      </w:r>
      <w:r w:rsidRPr="0058008E">
        <w:rPr>
          <w:rFonts w:eastAsia="Calibri"/>
          <w:sz w:val="24"/>
          <w:szCs w:val="24"/>
        </w:rPr>
        <w:t xml:space="preserve"> w ul. Łokietka od ul. Jana z Kolna do ronda przy Ergo Arenie (4,4 mln zł),</w:t>
      </w:r>
    </w:p>
    <w:p w14:paraId="4D41E20C" w14:textId="36EE0264" w:rsidR="00066698" w:rsidRPr="0058008E" w:rsidRDefault="0073524E" w:rsidP="00066698">
      <w:pPr>
        <w:numPr>
          <w:ilvl w:val="0"/>
          <w:numId w:val="22"/>
        </w:numPr>
        <w:spacing w:line="276" w:lineRule="auto"/>
        <w:ind w:left="426"/>
        <w:rPr>
          <w:sz w:val="24"/>
          <w:szCs w:val="24"/>
        </w:rPr>
      </w:pPr>
      <w:r w:rsidRPr="0058008E">
        <w:rPr>
          <w:sz w:val="24"/>
          <w:szCs w:val="24"/>
        </w:rPr>
        <w:t xml:space="preserve">wpływów </w:t>
      </w:r>
      <w:r w:rsidR="003A00F1" w:rsidRPr="0058008E">
        <w:rPr>
          <w:sz w:val="24"/>
          <w:szCs w:val="24"/>
        </w:rPr>
        <w:t xml:space="preserve">z  </w:t>
      </w:r>
      <w:r w:rsidR="009B4ED0" w:rsidRPr="0058008E">
        <w:rPr>
          <w:sz w:val="24"/>
          <w:szCs w:val="24"/>
        </w:rPr>
        <w:t>opłaty uzdrowiskowej</w:t>
      </w:r>
      <w:r w:rsidR="00066698" w:rsidRPr="0058008E">
        <w:rPr>
          <w:sz w:val="24"/>
          <w:szCs w:val="24"/>
        </w:rPr>
        <w:t xml:space="preserve"> (</w:t>
      </w:r>
      <w:r w:rsidR="007B6AEA" w:rsidRPr="0058008E">
        <w:rPr>
          <w:sz w:val="24"/>
          <w:szCs w:val="24"/>
        </w:rPr>
        <w:t>1,2</w:t>
      </w:r>
      <w:r w:rsidR="003A00F1" w:rsidRPr="0058008E">
        <w:rPr>
          <w:sz w:val="24"/>
          <w:szCs w:val="24"/>
        </w:rPr>
        <w:t xml:space="preserve"> mln zł),</w:t>
      </w:r>
      <w:bookmarkStart w:id="3" w:name="_Hlk170804741"/>
    </w:p>
    <w:p w14:paraId="71A2EFDE" w14:textId="34B2CA83" w:rsidR="00066698" w:rsidRPr="0058008E" w:rsidRDefault="00477AA8" w:rsidP="00066698">
      <w:pPr>
        <w:numPr>
          <w:ilvl w:val="0"/>
          <w:numId w:val="22"/>
        </w:numPr>
        <w:spacing w:line="276" w:lineRule="auto"/>
        <w:ind w:left="426"/>
        <w:jc w:val="both"/>
        <w:rPr>
          <w:color w:val="EE0000"/>
          <w:sz w:val="24"/>
          <w:szCs w:val="24"/>
        </w:rPr>
      </w:pPr>
      <w:r w:rsidRPr="0058008E">
        <w:rPr>
          <w:sz w:val="24"/>
          <w:szCs w:val="24"/>
        </w:rPr>
        <w:t xml:space="preserve">w ramach uzupełnienia subwencji </w:t>
      </w:r>
      <w:r w:rsidR="00066698" w:rsidRPr="0058008E">
        <w:rPr>
          <w:sz w:val="24"/>
          <w:szCs w:val="24"/>
        </w:rPr>
        <w:t>w kwocie (</w:t>
      </w:r>
      <w:r w:rsidR="003461DD" w:rsidRPr="0058008E">
        <w:rPr>
          <w:sz w:val="24"/>
          <w:szCs w:val="24"/>
        </w:rPr>
        <w:t>4</w:t>
      </w:r>
      <w:r w:rsidR="00066698" w:rsidRPr="0058008E">
        <w:rPr>
          <w:sz w:val="24"/>
          <w:szCs w:val="24"/>
        </w:rPr>
        <w:t>,</w:t>
      </w:r>
      <w:r w:rsidR="003461DD" w:rsidRPr="0058008E">
        <w:rPr>
          <w:sz w:val="24"/>
          <w:szCs w:val="24"/>
        </w:rPr>
        <w:t>1</w:t>
      </w:r>
      <w:r w:rsidR="00066698" w:rsidRPr="0058008E">
        <w:rPr>
          <w:sz w:val="24"/>
          <w:szCs w:val="24"/>
        </w:rPr>
        <w:t xml:space="preserve"> mln zł) na remont Al. Niepodległości w Sopocie</w:t>
      </w:r>
      <w:bookmarkEnd w:id="3"/>
      <w:r w:rsidR="003461DD" w:rsidRPr="0058008E">
        <w:rPr>
          <w:sz w:val="24"/>
          <w:szCs w:val="24"/>
        </w:rPr>
        <w:t>,</w:t>
      </w:r>
    </w:p>
    <w:p w14:paraId="1298C241" w14:textId="26306B2A" w:rsidR="00E627EB" w:rsidRPr="0058008E" w:rsidRDefault="00BC697F" w:rsidP="00066698">
      <w:pPr>
        <w:numPr>
          <w:ilvl w:val="0"/>
          <w:numId w:val="22"/>
        </w:numPr>
        <w:spacing w:line="276" w:lineRule="auto"/>
        <w:ind w:left="426"/>
        <w:jc w:val="both"/>
        <w:rPr>
          <w:sz w:val="24"/>
          <w:szCs w:val="24"/>
        </w:rPr>
      </w:pPr>
      <w:r w:rsidRPr="0058008E">
        <w:rPr>
          <w:rFonts w:eastAsia="Calibri"/>
          <w:sz w:val="24"/>
          <w:szCs w:val="24"/>
        </w:rPr>
        <w:t xml:space="preserve">w ramach Rządowego Funduszu Rozwoju Dróg na </w:t>
      </w:r>
      <w:proofErr w:type="spellStart"/>
      <w:r w:rsidR="0073524E" w:rsidRPr="0058008E">
        <w:rPr>
          <w:rFonts w:eastAsia="Calibri"/>
          <w:sz w:val="24"/>
          <w:szCs w:val="24"/>
        </w:rPr>
        <w:t>p</w:t>
      </w:r>
      <w:r w:rsidRPr="0058008E">
        <w:rPr>
          <w:rFonts w:eastAsia="Calibri"/>
          <w:sz w:val="24"/>
          <w:szCs w:val="24"/>
        </w:rPr>
        <w:t>rzebudow</w:t>
      </w:r>
      <w:r w:rsidR="0073524E" w:rsidRPr="0058008E">
        <w:rPr>
          <w:rFonts w:eastAsia="Calibri"/>
          <w:sz w:val="24"/>
          <w:szCs w:val="24"/>
        </w:rPr>
        <w:t>e</w:t>
      </w:r>
      <w:proofErr w:type="spellEnd"/>
      <w:r w:rsidRPr="0058008E">
        <w:rPr>
          <w:rFonts w:eastAsia="Calibri"/>
          <w:sz w:val="24"/>
          <w:szCs w:val="24"/>
        </w:rPr>
        <w:t xml:space="preserve"> ulicy </w:t>
      </w:r>
      <w:proofErr w:type="spellStart"/>
      <w:r w:rsidRPr="0058008E">
        <w:rPr>
          <w:rFonts w:eastAsia="Calibri"/>
          <w:sz w:val="24"/>
          <w:szCs w:val="24"/>
        </w:rPr>
        <w:t>Goyki</w:t>
      </w:r>
      <w:proofErr w:type="spellEnd"/>
      <w:r w:rsidRPr="0058008E">
        <w:rPr>
          <w:rFonts w:eastAsia="Calibri"/>
          <w:sz w:val="24"/>
          <w:szCs w:val="24"/>
        </w:rPr>
        <w:t xml:space="preserve"> (droga powiatowa) na odcinku od Powstańców Warszawy (łącznie z obrębem skrzyżowania) do wiaduktu kolejowego </w:t>
      </w:r>
      <w:r w:rsidR="00066698" w:rsidRPr="0058008E">
        <w:rPr>
          <w:rFonts w:eastAsia="Calibri"/>
          <w:sz w:val="24"/>
          <w:szCs w:val="24"/>
        </w:rPr>
        <w:t>w kwocie (</w:t>
      </w:r>
      <w:r w:rsidRPr="0058008E">
        <w:rPr>
          <w:rFonts w:eastAsia="Calibri"/>
          <w:sz w:val="24"/>
          <w:szCs w:val="24"/>
        </w:rPr>
        <w:t>1</w:t>
      </w:r>
      <w:r w:rsidR="00066698" w:rsidRPr="0058008E">
        <w:rPr>
          <w:rFonts w:eastAsia="Calibri"/>
          <w:sz w:val="24"/>
          <w:szCs w:val="24"/>
        </w:rPr>
        <w:t>.</w:t>
      </w:r>
      <w:r w:rsidRPr="0058008E">
        <w:rPr>
          <w:rFonts w:eastAsia="Calibri"/>
          <w:sz w:val="24"/>
          <w:szCs w:val="24"/>
        </w:rPr>
        <w:t>8</w:t>
      </w:r>
      <w:r w:rsidR="00066698" w:rsidRPr="0058008E">
        <w:rPr>
          <w:rFonts w:eastAsia="Calibri"/>
          <w:sz w:val="24"/>
          <w:szCs w:val="24"/>
        </w:rPr>
        <w:t xml:space="preserve"> mln zł),</w:t>
      </w:r>
    </w:p>
    <w:p w14:paraId="1C3FB118" w14:textId="3C900F1B" w:rsidR="00E627EB" w:rsidRPr="0058008E" w:rsidRDefault="009B4ED0" w:rsidP="000D4E6F">
      <w:pPr>
        <w:numPr>
          <w:ilvl w:val="0"/>
          <w:numId w:val="22"/>
        </w:numPr>
        <w:spacing w:line="276" w:lineRule="auto"/>
        <w:ind w:left="426"/>
        <w:rPr>
          <w:sz w:val="24"/>
          <w:szCs w:val="24"/>
        </w:rPr>
      </w:pPr>
      <w:r w:rsidRPr="0058008E">
        <w:rPr>
          <w:rFonts w:eastAsia="Calibri"/>
          <w:sz w:val="24"/>
          <w:szCs w:val="24"/>
          <w:lang w:eastAsia="en-US"/>
        </w:rPr>
        <w:t xml:space="preserve">z tytułu </w:t>
      </w:r>
      <w:r w:rsidR="0073524E" w:rsidRPr="0058008E">
        <w:rPr>
          <w:rFonts w:eastAsia="Calibri"/>
          <w:sz w:val="24"/>
          <w:szCs w:val="24"/>
          <w:lang w:eastAsia="en-US"/>
        </w:rPr>
        <w:t xml:space="preserve">udziału inwestora prywatnego w wypłacie odszkodowania </w:t>
      </w:r>
      <w:r w:rsidRPr="0058008E">
        <w:rPr>
          <w:rFonts w:eastAsia="Calibri"/>
          <w:sz w:val="24"/>
          <w:szCs w:val="24"/>
          <w:lang w:eastAsia="en-US"/>
        </w:rPr>
        <w:t xml:space="preserve">w ramach projektu </w:t>
      </w:r>
      <w:r w:rsidR="0073524E" w:rsidRPr="0058008E">
        <w:rPr>
          <w:rFonts w:eastAsia="Calibri"/>
          <w:sz w:val="24"/>
          <w:szCs w:val="24"/>
          <w:lang w:eastAsia="en-US"/>
        </w:rPr>
        <w:t>tzw. „ul. Torowa”</w:t>
      </w:r>
      <w:r w:rsidRPr="0058008E">
        <w:rPr>
          <w:rFonts w:eastAsia="Calibri"/>
          <w:sz w:val="24"/>
          <w:szCs w:val="24"/>
          <w:lang w:eastAsia="en-US"/>
        </w:rPr>
        <w:t xml:space="preserve"> </w:t>
      </w:r>
      <w:r w:rsidR="00E627EB" w:rsidRPr="0058008E">
        <w:rPr>
          <w:rFonts w:eastAsia="Calibri"/>
          <w:sz w:val="24"/>
          <w:szCs w:val="24"/>
          <w:lang w:eastAsia="en-US"/>
        </w:rPr>
        <w:t>(</w:t>
      </w:r>
      <w:r w:rsidRPr="0058008E">
        <w:rPr>
          <w:rFonts w:eastAsia="Calibri"/>
          <w:sz w:val="24"/>
          <w:szCs w:val="24"/>
          <w:lang w:eastAsia="en-US"/>
        </w:rPr>
        <w:t>3,4</w:t>
      </w:r>
      <w:r w:rsidR="00E627EB" w:rsidRPr="0058008E">
        <w:rPr>
          <w:rFonts w:eastAsia="Calibri"/>
          <w:sz w:val="24"/>
          <w:szCs w:val="24"/>
          <w:lang w:eastAsia="en-US"/>
        </w:rPr>
        <w:t xml:space="preserve"> mln zł), </w:t>
      </w:r>
    </w:p>
    <w:p w14:paraId="2C8C9A36" w14:textId="0088B953" w:rsidR="00E627EB" w:rsidRPr="0058008E" w:rsidRDefault="00066698" w:rsidP="000D4E6F">
      <w:pPr>
        <w:numPr>
          <w:ilvl w:val="0"/>
          <w:numId w:val="22"/>
        </w:numPr>
        <w:spacing w:line="276" w:lineRule="auto"/>
        <w:ind w:left="426"/>
        <w:rPr>
          <w:sz w:val="24"/>
          <w:szCs w:val="24"/>
        </w:rPr>
      </w:pPr>
      <w:r w:rsidRPr="0058008E">
        <w:rPr>
          <w:sz w:val="24"/>
          <w:szCs w:val="24"/>
        </w:rPr>
        <w:t xml:space="preserve">z tyt. wpływu z </w:t>
      </w:r>
      <w:r w:rsidR="009B4ED0" w:rsidRPr="0058008E">
        <w:rPr>
          <w:sz w:val="24"/>
          <w:szCs w:val="24"/>
        </w:rPr>
        <w:t>usług (0,7</w:t>
      </w:r>
      <w:r w:rsidR="00E627EB" w:rsidRPr="0058008E">
        <w:rPr>
          <w:sz w:val="24"/>
          <w:szCs w:val="24"/>
        </w:rPr>
        <w:t xml:space="preserve"> mln zł)</w:t>
      </w:r>
      <w:r w:rsidR="009B4ED0" w:rsidRPr="0058008E">
        <w:rPr>
          <w:sz w:val="24"/>
          <w:szCs w:val="24"/>
        </w:rPr>
        <w:t xml:space="preserve"> w Żłobku Puchatek oraz opłat z ZUS (0,4 mln zł),</w:t>
      </w:r>
    </w:p>
    <w:p w14:paraId="6FDCBE69" w14:textId="71BC8BAF" w:rsidR="00AB103B" w:rsidRPr="0058008E" w:rsidRDefault="00AB103B" w:rsidP="00AB103B">
      <w:pPr>
        <w:numPr>
          <w:ilvl w:val="0"/>
          <w:numId w:val="22"/>
        </w:numPr>
        <w:spacing w:line="276" w:lineRule="auto"/>
        <w:ind w:left="426"/>
        <w:jc w:val="both"/>
        <w:rPr>
          <w:sz w:val="24"/>
          <w:szCs w:val="24"/>
        </w:rPr>
      </w:pPr>
      <w:r w:rsidRPr="0058008E">
        <w:rPr>
          <w:sz w:val="24"/>
          <w:szCs w:val="24"/>
        </w:rPr>
        <w:t>z tyt. podatku od spadku i darowizn</w:t>
      </w:r>
      <w:r w:rsidR="007633D2" w:rsidRPr="0058008E">
        <w:rPr>
          <w:sz w:val="24"/>
          <w:szCs w:val="24"/>
        </w:rPr>
        <w:t xml:space="preserve"> (</w:t>
      </w:r>
      <w:r w:rsidR="009B4ED0" w:rsidRPr="0058008E">
        <w:rPr>
          <w:sz w:val="24"/>
          <w:szCs w:val="24"/>
        </w:rPr>
        <w:t>2</w:t>
      </w:r>
      <w:r w:rsidR="007633D2" w:rsidRPr="0058008E">
        <w:rPr>
          <w:sz w:val="24"/>
          <w:szCs w:val="24"/>
        </w:rPr>
        <w:t>,</w:t>
      </w:r>
      <w:r w:rsidR="009B4ED0" w:rsidRPr="0058008E">
        <w:rPr>
          <w:sz w:val="24"/>
          <w:szCs w:val="24"/>
        </w:rPr>
        <w:t>4</w:t>
      </w:r>
      <w:r w:rsidR="007633D2" w:rsidRPr="0058008E">
        <w:rPr>
          <w:sz w:val="24"/>
          <w:szCs w:val="24"/>
        </w:rPr>
        <w:t xml:space="preserve"> mln), </w:t>
      </w:r>
      <w:bookmarkEnd w:id="2"/>
    </w:p>
    <w:p w14:paraId="0E648CD3" w14:textId="29844396" w:rsidR="009B4ED0" w:rsidRPr="0058008E" w:rsidRDefault="009B4ED0" w:rsidP="00AB103B">
      <w:pPr>
        <w:numPr>
          <w:ilvl w:val="0"/>
          <w:numId w:val="22"/>
        </w:numPr>
        <w:spacing w:line="276" w:lineRule="auto"/>
        <w:ind w:left="426"/>
        <w:jc w:val="both"/>
        <w:rPr>
          <w:sz w:val="24"/>
          <w:szCs w:val="24"/>
        </w:rPr>
      </w:pPr>
      <w:r w:rsidRPr="0058008E">
        <w:rPr>
          <w:sz w:val="24"/>
          <w:szCs w:val="24"/>
        </w:rPr>
        <w:t xml:space="preserve">z tyt. wpływów z odsetek od nieterminowych wpłat z tyt. podatków i opłat </w:t>
      </w:r>
      <w:r w:rsidR="007B6AEA" w:rsidRPr="0058008E">
        <w:rPr>
          <w:sz w:val="24"/>
          <w:szCs w:val="24"/>
        </w:rPr>
        <w:t>(</w:t>
      </w:r>
      <w:r w:rsidRPr="0058008E">
        <w:rPr>
          <w:sz w:val="24"/>
          <w:szCs w:val="24"/>
        </w:rPr>
        <w:t>1,6 mln zł),</w:t>
      </w:r>
    </w:p>
    <w:p w14:paraId="543B3F9E" w14:textId="7CEA6B48" w:rsidR="00AB103B" w:rsidRPr="0058008E" w:rsidRDefault="007B6AEA" w:rsidP="00AB103B">
      <w:pPr>
        <w:numPr>
          <w:ilvl w:val="0"/>
          <w:numId w:val="22"/>
        </w:numPr>
        <w:spacing w:line="276" w:lineRule="auto"/>
        <w:ind w:left="426"/>
        <w:jc w:val="both"/>
        <w:rPr>
          <w:sz w:val="24"/>
          <w:szCs w:val="24"/>
        </w:rPr>
      </w:pPr>
      <w:r w:rsidRPr="0058008E">
        <w:rPr>
          <w:rFonts w:eastAsia="Calibri"/>
          <w:sz w:val="24"/>
          <w:szCs w:val="24"/>
        </w:rPr>
        <w:t>z tyt. wpływów z Funduszu Pomocy Ukrainie (7,2</w:t>
      </w:r>
      <w:r w:rsidR="00AB103B" w:rsidRPr="0058008E">
        <w:rPr>
          <w:rFonts w:eastAsia="Calibri"/>
          <w:sz w:val="24"/>
          <w:szCs w:val="24"/>
        </w:rPr>
        <w:t xml:space="preserve"> mln zł</w:t>
      </w:r>
      <w:r w:rsidR="00AB103B" w:rsidRPr="0058008E">
        <w:rPr>
          <w:sz w:val="24"/>
          <w:szCs w:val="24"/>
        </w:rPr>
        <w:t>),</w:t>
      </w:r>
    </w:p>
    <w:p w14:paraId="067F7487" w14:textId="698D6AB2" w:rsidR="00AB103B" w:rsidRPr="0058008E" w:rsidRDefault="00AB103B" w:rsidP="00AB103B">
      <w:pPr>
        <w:numPr>
          <w:ilvl w:val="0"/>
          <w:numId w:val="22"/>
        </w:numPr>
        <w:spacing w:line="276" w:lineRule="auto"/>
        <w:ind w:left="426"/>
        <w:jc w:val="both"/>
        <w:rPr>
          <w:sz w:val="24"/>
          <w:szCs w:val="24"/>
        </w:rPr>
      </w:pPr>
      <w:r w:rsidRPr="0058008E">
        <w:rPr>
          <w:rFonts w:eastAsia="Calibri"/>
          <w:sz w:val="24"/>
          <w:szCs w:val="24"/>
        </w:rPr>
        <w:t xml:space="preserve">wpływów z tytułu czynszów </w:t>
      </w:r>
      <w:r w:rsidR="00477AA8" w:rsidRPr="0058008E">
        <w:rPr>
          <w:rFonts w:eastAsia="Calibri"/>
          <w:sz w:val="24"/>
          <w:szCs w:val="24"/>
        </w:rPr>
        <w:t>z</w:t>
      </w:r>
      <w:r w:rsidRPr="0058008E">
        <w:rPr>
          <w:rFonts w:eastAsia="Calibri"/>
          <w:sz w:val="24"/>
          <w:szCs w:val="24"/>
        </w:rPr>
        <w:t xml:space="preserve"> zasobów komunalnych</w:t>
      </w:r>
      <w:r w:rsidRPr="0058008E">
        <w:rPr>
          <w:sz w:val="24"/>
          <w:szCs w:val="24"/>
        </w:rPr>
        <w:t xml:space="preserve"> </w:t>
      </w:r>
      <w:r w:rsidR="00323849" w:rsidRPr="0058008E">
        <w:rPr>
          <w:sz w:val="24"/>
          <w:szCs w:val="24"/>
        </w:rPr>
        <w:t>(</w:t>
      </w:r>
      <w:r w:rsidRPr="0058008E">
        <w:rPr>
          <w:sz w:val="24"/>
          <w:szCs w:val="24"/>
        </w:rPr>
        <w:t>1,</w:t>
      </w:r>
      <w:r w:rsidR="009B4ED0" w:rsidRPr="0058008E">
        <w:rPr>
          <w:sz w:val="24"/>
          <w:szCs w:val="24"/>
        </w:rPr>
        <w:t>8</w:t>
      </w:r>
      <w:r w:rsidR="00323849" w:rsidRPr="0058008E">
        <w:rPr>
          <w:sz w:val="24"/>
          <w:szCs w:val="24"/>
        </w:rPr>
        <w:t xml:space="preserve"> mln), </w:t>
      </w:r>
    </w:p>
    <w:p w14:paraId="72DA273E" w14:textId="303B07C3" w:rsidR="007520C8" w:rsidRPr="0058008E" w:rsidRDefault="002E724F" w:rsidP="007B6AEA">
      <w:pPr>
        <w:pStyle w:val="Tekstpodstawowy2"/>
        <w:ind w:left="426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iCs/>
          <w:color w:val="EE0000"/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14:paraId="7BA9C822" w14:textId="77777777" w:rsidR="000541EE" w:rsidRPr="0058008E" w:rsidRDefault="00A945FB" w:rsidP="00103080">
      <w:pPr>
        <w:pStyle w:val="Tekstpodstawowy2"/>
        <w:ind w:left="-284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i w:val="0"/>
          <w:sz w:val="24"/>
          <w:szCs w:val="24"/>
        </w:rPr>
        <w:t>Prezydent Miasta Sopotu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3822EE" w:rsidRPr="0058008E">
        <w:rPr>
          <w:rFonts w:ascii="Times New Roman" w:hAnsi="Times New Roman"/>
          <w:b w:val="0"/>
          <w:i w:val="0"/>
          <w:sz w:val="24"/>
        </w:rPr>
        <w:t>zgodnie z posiadanymi kompetencjami</w:t>
      </w:r>
      <w:r w:rsidR="001D1443" w:rsidRPr="0058008E">
        <w:rPr>
          <w:rFonts w:ascii="Times New Roman" w:hAnsi="Times New Roman"/>
          <w:b w:val="0"/>
          <w:i w:val="0"/>
          <w:sz w:val="24"/>
        </w:rPr>
        <w:t>,</w:t>
      </w:r>
      <w:r w:rsidRPr="0058008E">
        <w:rPr>
          <w:rFonts w:ascii="Times New Roman" w:hAnsi="Times New Roman"/>
          <w:b w:val="0"/>
          <w:i w:val="0"/>
          <w:sz w:val="24"/>
        </w:rPr>
        <w:t xml:space="preserve"> odnośnymi zarządzeniami, </w:t>
      </w:r>
      <w:r w:rsidR="00EA1F6C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wprowadził </w:t>
      </w:r>
      <w:r w:rsidR="009E370C" w:rsidRPr="0058008E">
        <w:rPr>
          <w:rFonts w:ascii="Times New Roman" w:hAnsi="Times New Roman"/>
          <w:b w:val="0"/>
          <w:i w:val="0"/>
          <w:sz w:val="24"/>
          <w:szCs w:val="24"/>
        </w:rPr>
        <w:t xml:space="preserve">do budżetu </w:t>
      </w:r>
      <w:r w:rsidR="00EA1F6C" w:rsidRPr="0058008E">
        <w:rPr>
          <w:rFonts w:ascii="Times New Roman" w:hAnsi="Times New Roman"/>
          <w:b w:val="0"/>
          <w:i w:val="0"/>
          <w:sz w:val="24"/>
          <w:szCs w:val="24"/>
        </w:rPr>
        <w:t>zmiany powodując</w:t>
      </w:r>
      <w:r w:rsidR="009E370C" w:rsidRPr="0058008E">
        <w:rPr>
          <w:rFonts w:ascii="Times New Roman" w:hAnsi="Times New Roman"/>
          <w:b w:val="0"/>
          <w:i w:val="0"/>
          <w:sz w:val="24"/>
          <w:szCs w:val="24"/>
        </w:rPr>
        <w:t>e</w:t>
      </w:r>
      <w:r w:rsidR="00294D1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jego:</w:t>
      </w:r>
    </w:p>
    <w:p w14:paraId="3B6FAE1F" w14:textId="6B8B44AD" w:rsidR="00B915F2" w:rsidRPr="0058008E" w:rsidRDefault="00A945FB" w:rsidP="00072A87">
      <w:pPr>
        <w:pStyle w:val="Tekstpodstawowy2"/>
        <w:numPr>
          <w:ilvl w:val="0"/>
          <w:numId w:val="7"/>
        </w:numPr>
        <w:tabs>
          <w:tab w:val="clear" w:pos="780"/>
          <w:tab w:val="num" w:pos="426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zwiększenie</w:t>
      </w:r>
      <w:r w:rsidRPr="0058008E">
        <w:rPr>
          <w:rFonts w:ascii="Times New Roman" w:hAnsi="Times New Roman"/>
          <w:i w:val="0"/>
          <w:sz w:val="24"/>
          <w:szCs w:val="24"/>
        </w:rPr>
        <w:t xml:space="preserve"> </w:t>
      </w:r>
      <w:r w:rsidR="00EA1F6C" w:rsidRPr="0058008E">
        <w:rPr>
          <w:rFonts w:ascii="Times New Roman" w:hAnsi="Times New Roman"/>
          <w:b w:val="0"/>
          <w:i w:val="0"/>
          <w:sz w:val="24"/>
          <w:szCs w:val="24"/>
        </w:rPr>
        <w:t xml:space="preserve">po stronie </w:t>
      </w:r>
      <w:r w:rsidR="00EA1F6C" w:rsidRPr="0058008E">
        <w:rPr>
          <w:rFonts w:ascii="Times New Roman" w:hAnsi="Times New Roman"/>
          <w:b w:val="0"/>
          <w:sz w:val="24"/>
          <w:szCs w:val="24"/>
          <w:u w:val="single"/>
        </w:rPr>
        <w:t>dochodowej</w:t>
      </w:r>
      <w:r w:rsidR="00B4341D" w:rsidRPr="0058008E">
        <w:rPr>
          <w:rFonts w:ascii="Times New Roman" w:hAnsi="Times New Roman"/>
          <w:b w:val="0"/>
          <w:i w:val="0"/>
          <w:iCs/>
          <w:sz w:val="24"/>
          <w:szCs w:val="24"/>
          <w:u w:val="single"/>
        </w:rPr>
        <w:t xml:space="preserve"> </w:t>
      </w:r>
      <w:r w:rsidR="00497C15" w:rsidRPr="0058008E">
        <w:rPr>
          <w:rFonts w:ascii="Times New Roman" w:hAnsi="Times New Roman"/>
          <w:b w:val="0"/>
          <w:i w:val="0"/>
          <w:iCs/>
          <w:sz w:val="24"/>
          <w:szCs w:val="24"/>
          <w:u w:val="single"/>
        </w:rPr>
        <w:t xml:space="preserve">i </w:t>
      </w:r>
      <w:r w:rsidR="00497C15" w:rsidRPr="0058008E">
        <w:rPr>
          <w:rFonts w:ascii="Times New Roman" w:hAnsi="Times New Roman"/>
          <w:b w:val="0"/>
          <w:sz w:val="24"/>
          <w:szCs w:val="24"/>
          <w:u w:val="single"/>
        </w:rPr>
        <w:t>wydatkow</w:t>
      </w:r>
      <w:r w:rsidR="00B915F2" w:rsidRPr="0058008E">
        <w:rPr>
          <w:rFonts w:ascii="Times New Roman" w:hAnsi="Times New Roman"/>
          <w:b w:val="0"/>
          <w:sz w:val="24"/>
          <w:szCs w:val="24"/>
          <w:u w:val="single"/>
        </w:rPr>
        <w:t>ej</w:t>
      </w:r>
      <w:r w:rsidR="00497C15" w:rsidRPr="0058008E">
        <w:rPr>
          <w:rFonts w:ascii="Times New Roman" w:hAnsi="Times New Roman"/>
          <w:b w:val="0"/>
          <w:i w:val="0"/>
          <w:iCs/>
          <w:sz w:val="24"/>
          <w:szCs w:val="24"/>
          <w:u w:val="single"/>
        </w:rPr>
        <w:t xml:space="preserve"> </w:t>
      </w:r>
      <w:r w:rsidR="00B4341D" w:rsidRPr="0058008E">
        <w:rPr>
          <w:rFonts w:ascii="Times New Roman" w:hAnsi="Times New Roman"/>
          <w:b w:val="0"/>
          <w:i w:val="0"/>
          <w:iCs/>
          <w:sz w:val="24"/>
          <w:szCs w:val="24"/>
        </w:rPr>
        <w:t>o kwot</w:t>
      </w:r>
      <w:r w:rsidR="00103080" w:rsidRPr="0058008E">
        <w:rPr>
          <w:rFonts w:ascii="Times New Roman" w:hAnsi="Times New Roman"/>
          <w:b w:val="0"/>
          <w:i w:val="0"/>
          <w:iCs/>
          <w:sz w:val="24"/>
          <w:szCs w:val="24"/>
        </w:rPr>
        <w:t>ę</w:t>
      </w:r>
      <w:r w:rsidR="00B4341D" w:rsidRPr="0058008E">
        <w:rPr>
          <w:rFonts w:ascii="Times New Roman" w:hAnsi="Times New Roman"/>
          <w:b w:val="0"/>
          <w:i w:val="0"/>
          <w:iCs/>
          <w:sz w:val="24"/>
          <w:szCs w:val="24"/>
        </w:rPr>
        <w:t xml:space="preserve"> </w:t>
      </w:r>
      <w:r w:rsidR="0015044B" w:rsidRPr="0058008E">
        <w:rPr>
          <w:rFonts w:ascii="Times New Roman" w:hAnsi="Times New Roman"/>
          <w:bCs/>
          <w:sz w:val="24"/>
          <w:szCs w:val="24"/>
        </w:rPr>
        <w:t>1</w:t>
      </w:r>
      <w:r w:rsidR="005E6614" w:rsidRPr="0058008E">
        <w:rPr>
          <w:rFonts w:ascii="Times New Roman" w:hAnsi="Times New Roman"/>
          <w:bCs/>
          <w:sz w:val="24"/>
          <w:szCs w:val="24"/>
        </w:rPr>
        <w:t>9</w:t>
      </w:r>
      <w:r w:rsidR="0015044B" w:rsidRPr="0058008E">
        <w:rPr>
          <w:rFonts w:ascii="Times New Roman" w:hAnsi="Times New Roman"/>
          <w:bCs/>
          <w:sz w:val="24"/>
          <w:szCs w:val="24"/>
        </w:rPr>
        <w:t>.0</w:t>
      </w:r>
      <w:r w:rsidR="005E6614" w:rsidRPr="0058008E">
        <w:rPr>
          <w:rFonts w:ascii="Times New Roman" w:hAnsi="Times New Roman"/>
          <w:bCs/>
          <w:sz w:val="24"/>
          <w:szCs w:val="24"/>
        </w:rPr>
        <w:t>73</w:t>
      </w:r>
      <w:r w:rsidR="0015044B" w:rsidRPr="0058008E">
        <w:rPr>
          <w:rFonts w:ascii="Times New Roman" w:hAnsi="Times New Roman"/>
          <w:bCs/>
          <w:sz w:val="24"/>
          <w:szCs w:val="24"/>
        </w:rPr>
        <w:t>.</w:t>
      </w:r>
      <w:r w:rsidR="005E6614" w:rsidRPr="0058008E">
        <w:rPr>
          <w:rFonts w:ascii="Times New Roman" w:hAnsi="Times New Roman"/>
          <w:bCs/>
          <w:sz w:val="24"/>
          <w:szCs w:val="24"/>
        </w:rPr>
        <w:t>797</w:t>
      </w:r>
      <w:r w:rsidR="00B4341D" w:rsidRPr="0058008E">
        <w:rPr>
          <w:rFonts w:ascii="Times New Roman" w:hAnsi="Times New Roman"/>
          <w:bCs/>
          <w:sz w:val="24"/>
          <w:szCs w:val="24"/>
        </w:rPr>
        <w:t xml:space="preserve"> </w:t>
      </w:r>
      <w:r w:rsidR="00506F37" w:rsidRPr="0058008E">
        <w:rPr>
          <w:rFonts w:ascii="Times New Roman" w:hAnsi="Times New Roman"/>
          <w:bCs/>
          <w:sz w:val="24"/>
          <w:szCs w:val="24"/>
        </w:rPr>
        <w:t>zł</w:t>
      </w:r>
      <w:r w:rsidR="00506F37" w:rsidRPr="005800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4677B926" w14:textId="49F91F91" w:rsidR="00324861" w:rsidRPr="0058008E" w:rsidRDefault="004D5CDD" w:rsidP="00B915F2">
      <w:pPr>
        <w:pStyle w:val="Tekstpodstawowy2"/>
        <w:ind w:left="78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bCs/>
          <w:i w:val="0"/>
          <w:iCs/>
          <w:sz w:val="24"/>
          <w:szCs w:val="24"/>
        </w:rPr>
        <w:t>z</w:t>
      </w:r>
      <w:r w:rsidR="00EA1F6C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tytułu przyznanych miastu większych kwot dotacji celowych</w:t>
      </w:r>
      <w:r w:rsidR="00862F2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oraz </w:t>
      </w:r>
      <w:r w:rsidR="0052112E" w:rsidRPr="0058008E">
        <w:rPr>
          <w:rFonts w:ascii="Times New Roman" w:hAnsi="Times New Roman"/>
          <w:b w:val="0"/>
          <w:i w:val="0"/>
          <w:sz w:val="24"/>
          <w:szCs w:val="24"/>
        </w:rPr>
        <w:br/>
      </w:r>
      <w:r w:rsidR="00DE3E84" w:rsidRPr="0058008E">
        <w:rPr>
          <w:rFonts w:ascii="Times New Roman" w:hAnsi="Times New Roman"/>
          <w:b w:val="0"/>
          <w:i w:val="0"/>
          <w:sz w:val="24"/>
          <w:szCs w:val="24"/>
        </w:rPr>
        <w:t xml:space="preserve">z </w:t>
      </w:r>
      <w:r w:rsidR="00862F22" w:rsidRPr="0058008E">
        <w:rPr>
          <w:rFonts w:ascii="Times New Roman" w:hAnsi="Times New Roman"/>
          <w:b w:val="0"/>
          <w:i w:val="0"/>
          <w:sz w:val="24"/>
          <w:szCs w:val="24"/>
        </w:rPr>
        <w:t>Funduszu Pomocy Ukrainie</w:t>
      </w:r>
      <w:r w:rsidR="00DF7E43"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14:paraId="2BFE7295" w14:textId="77777777" w:rsidR="006A54A5" w:rsidRPr="0058008E" w:rsidRDefault="006A54A5" w:rsidP="00052C36">
      <w:pPr>
        <w:pStyle w:val="Tekstpodstawowy2"/>
        <w:jc w:val="both"/>
        <w:rPr>
          <w:rFonts w:ascii="Times New Roman" w:hAnsi="Times New Roman"/>
          <w:b w:val="0"/>
          <w:iCs/>
          <w:color w:val="EE0000"/>
          <w:sz w:val="22"/>
          <w:szCs w:val="22"/>
        </w:rPr>
      </w:pPr>
    </w:p>
    <w:p w14:paraId="5B7E9A24" w14:textId="3B1C8C90" w:rsidR="006A54A5" w:rsidRPr="0058008E" w:rsidRDefault="006A54A5" w:rsidP="00052C36">
      <w:pPr>
        <w:pStyle w:val="Tekstpodstawowy2"/>
        <w:jc w:val="both"/>
        <w:rPr>
          <w:rFonts w:ascii="Times New Roman" w:hAnsi="Times New Roman"/>
          <w:b w:val="0"/>
          <w:iCs/>
          <w:sz w:val="22"/>
          <w:szCs w:val="22"/>
        </w:rPr>
      </w:pPr>
      <w:r w:rsidRPr="0058008E">
        <w:rPr>
          <w:rFonts w:ascii="Times New Roman" w:hAnsi="Times New Roman"/>
          <w:b w:val="0"/>
          <w:iCs/>
          <w:sz w:val="22"/>
          <w:szCs w:val="22"/>
        </w:rPr>
        <w:t>Pozosta</w:t>
      </w:r>
      <w:r w:rsidRPr="0058008E">
        <w:rPr>
          <w:rFonts w:ascii="Times New Roman" w:hAnsi="Times New Roman"/>
          <w:b w:val="0"/>
          <w:iCs/>
          <w:sz w:val="24"/>
        </w:rPr>
        <w:t>łe zwiększenia znajdują się na stronie BIP UM Sopotu</w:t>
      </w:r>
      <w:r w:rsidR="00477AA8" w:rsidRPr="0058008E">
        <w:rPr>
          <w:rFonts w:ascii="Times New Roman" w:hAnsi="Times New Roman"/>
          <w:b w:val="0"/>
          <w:iCs/>
          <w:sz w:val="24"/>
        </w:rPr>
        <w:t xml:space="preserve"> w zakładce „Zarządzenia Prezydenta Miasta”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8223"/>
        <w:gridCol w:w="1590"/>
      </w:tblGrid>
      <w:tr w:rsidR="003A056D" w:rsidRPr="0058008E" w14:paraId="476D0953" w14:textId="77777777" w:rsidTr="007C4259">
        <w:tc>
          <w:tcPr>
            <w:tcW w:w="8223" w:type="dxa"/>
          </w:tcPr>
          <w:p w14:paraId="22EC3304" w14:textId="77777777" w:rsidR="0096193B" w:rsidRPr="0058008E" w:rsidRDefault="0096193B" w:rsidP="00396D1C">
            <w:pPr>
              <w:pStyle w:val="Tekstpodstawowy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5A6DF56C" w14:textId="77777777" w:rsidR="00396D1C" w:rsidRPr="0058008E" w:rsidRDefault="00396D1C" w:rsidP="007C4259">
            <w:pPr>
              <w:pStyle w:val="Tekstpodstawowy2"/>
              <w:jc w:val="right"/>
              <w:rPr>
                <w:rFonts w:ascii="Times New Roman" w:hAnsi="Times New Roman"/>
                <w:b w:val="0"/>
              </w:rPr>
            </w:pPr>
          </w:p>
        </w:tc>
      </w:tr>
    </w:tbl>
    <w:p w14:paraId="7BDB23F1" w14:textId="77777777" w:rsidR="006D0CE0" w:rsidRPr="0058008E" w:rsidRDefault="001D1443" w:rsidP="00467F56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i w:val="0"/>
          <w:sz w:val="24"/>
          <w:szCs w:val="24"/>
          <w:u w:val="single"/>
        </w:rPr>
        <w:t>O</w:t>
      </w:r>
      <w:r w:rsidR="00FB6590" w:rsidRPr="0058008E">
        <w:rPr>
          <w:rFonts w:ascii="Times New Roman" w:hAnsi="Times New Roman"/>
          <w:i w:val="0"/>
          <w:sz w:val="24"/>
          <w:szCs w:val="24"/>
          <w:u w:val="single"/>
        </w:rPr>
        <w:t>góln</w:t>
      </w:r>
      <w:r w:rsidRPr="0058008E">
        <w:rPr>
          <w:rFonts w:ascii="Times New Roman" w:hAnsi="Times New Roman"/>
          <w:i w:val="0"/>
          <w:sz w:val="24"/>
          <w:szCs w:val="24"/>
          <w:u w:val="single"/>
        </w:rPr>
        <w:t>ą</w:t>
      </w:r>
      <w:r w:rsidR="00FB6590" w:rsidRPr="0058008E"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9E370C" w:rsidRPr="0058008E">
        <w:rPr>
          <w:rFonts w:ascii="Times New Roman" w:hAnsi="Times New Roman"/>
          <w:i w:val="0"/>
          <w:sz w:val="24"/>
          <w:szCs w:val="24"/>
          <w:u w:val="single"/>
        </w:rPr>
        <w:t>rezerw</w:t>
      </w:r>
      <w:r w:rsidRPr="0058008E">
        <w:rPr>
          <w:rFonts w:ascii="Times New Roman" w:hAnsi="Times New Roman"/>
          <w:i w:val="0"/>
          <w:sz w:val="24"/>
          <w:szCs w:val="24"/>
          <w:u w:val="single"/>
        </w:rPr>
        <w:t>ę</w:t>
      </w:r>
      <w:r w:rsidR="009E370C" w:rsidRPr="0058008E">
        <w:rPr>
          <w:rFonts w:ascii="Times New Roman" w:hAnsi="Times New Roman"/>
          <w:i w:val="0"/>
          <w:sz w:val="24"/>
          <w:szCs w:val="24"/>
          <w:u w:val="single"/>
        </w:rPr>
        <w:t xml:space="preserve"> budżetow</w:t>
      </w:r>
      <w:r w:rsidRPr="0058008E">
        <w:rPr>
          <w:rFonts w:ascii="Times New Roman" w:hAnsi="Times New Roman"/>
          <w:i w:val="0"/>
          <w:sz w:val="24"/>
          <w:szCs w:val="24"/>
          <w:u w:val="single"/>
        </w:rPr>
        <w:t>ą</w:t>
      </w:r>
      <w:r w:rsidR="00A841A4" w:rsidRPr="0058008E"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EA1F6C" w:rsidRPr="0058008E">
        <w:rPr>
          <w:rFonts w:ascii="Times New Roman" w:hAnsi="Times New Roman"/>
          <w:i w:val="0"/>
          <w:sz w:val="24"/>
          <w:szCs w:val="24"/>
          <w:u w:val="single"/>
        </w:rPr>
        <w:t xml:space="preserve">rozdysponowano </w:t>
      </w:r>
      <w:r w:rsidR="00B915F2" w:rsidRPr="0058008E">
        <w:rPr>
          <w:rFonts w:ascii="Times New Roman" w:hAnsi="Times New Roman"/>
          <w:i w:val="0"/>
          <w:sz w:val="24"/>
          <w:szCs w:val="24"/>
          <w:u w:val="single"/>
        </w:rPr>
        <w:t xml:space="preserve">w części </w:t>
      </w:r>
      <w:r w:rsidR="00EA1F6C" w:rsidRPr="0058008E">
        <w:rPr>
          <w:rFonts w:ascii="Times New Roman" w:hAnsi="Times New Roman"/>
          <w:i w:val="0"/>
          <w:sz w:val="24"/>
          <w:szCs w:val="24"/>
          <w:u w:val="single"/>
        </w:rPr>
        <w:t>na</w:t>
      </w:r>
      <w:r w:rsidR="00EA1F6C" w:rsidRPr="0058008E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26DF960" w14:textId="2635D792" w:rsidR="00CB139D" w:rsidRPr="0058008E" w:rsidRDefault="00756449" w:rsidP="0073524E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</w:rPr>
        <w:t>objęcie udziałów w spółce Hala Gdańsk-Sopot sp. z o.o.</w:t>
      </w:r>
      <w:r w:rsidR="006A63E1" w:rsidRPr="0058008E">
        <w:rPr>
          <w:rFonts w:ascii="Times New Roman" w:hAnsi="Times New Roman"/>
          <w:b w:val="0"/>
          <w:i w:val="0"/>
          <w:sz w:val="24"/>
        </w:rPr>
        <w:t xml:space="preserve">                      </w:t>
      </w:r>
      <w:r w:rsidRPr="0058008E">
        <w:rPr>
          <w:rFonts w:ascii="Times New Roman" w:hAnsi="Times New Roman"/>
          <w:b w:val="0"/>
          <w:i w:val="0"/>
          <w:sz w:val="24"/>
        </w:rPr>
        <w:t>40</w:t>
      </w:r>
      <w:r w:rsidR="006A63E1" w:rsidRPr="0058008E">
        <w:rPr>
          <w:rFonts w:ascii="Times New Roman" w:hAnsi="Times New Roman"/>
          <w:b w:val="0"/>
          <w:i w:val="0"/>
          <w:sz w:val="24"/>
        </w:rPr>
        <w:t>.</w:t>
      </w:r>
      <w:r w:rsidRPr="0058008E">
        <w:rPr>
          <w:rFonts w:ascii="Times New Roman" w:hAnsi="Times New Roman"/>
          <w:b w:val="0"/>
          <w:i w:val="0"/>
          <w:sz w:val="24"/>
        </w:rPr>
        <w:t>000</w:t>
      </w:r>
      <w:r w:rsidR="006A63E1" w:rsidRPr="0058008E">
        <w:rPr>
          <w:rFonts w:ascii="Times New Roman" w:hAnsi="Times New Roman"/>
          <w:b w:val="0"/>
          <w:i w:val="0"/>
          <w:sz w:val="24"/>
        </w:rPr>
        <w:t xml:space="preserve"> zł </w:t>
      </w:r>
    </w:p>
    <w:p w14:paraId="6DEC19BB" w14:textId="77777777" w:rsidR="00477AA8" w:rsidRPr="0058008E" w:rsidRDefault="00477AA8" w:rsidP="008C408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3004C054" w14:textId="66EC749E" w:rsidR="008C408E" w:rsidRPr="0058008E" w:rsidRDefault="007E154B" w:rsidP="008C408E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W tabelach I </w:t>
      </w:r>
      <w:proofErr w:type="spellStart"/>
      <w:r w:rsidRPr="0058008E">
        <w:rPr>
          <w:rFonts w:ascii="Times New Roman" w:hAnsi="Times New Roman"/>
          <w:b w:val="0"/>
          <w:i w:val="0"/>
          <w:sz w:val="24"/>
        </w:rPr>
        <w:t>i</w:t>
      </w:r>
      <w:proofErr w:type="spellEnd"/>
      <w:r w:rsidRPr="0058008E">
        <w:rPr>
          <w:rFonts w:ascii="Times New Roman" w:hAnsi="Times New Roman"/>
          <w:b w:val="0"/>
          <w:i w:val="0"/>
          <w:sz w:val="24"/>
        </w:rPr>
        <w:t xml:space="preserve"> II przedstawiono zmiany planu dochodów i wydatków w podziale na bieżące i majątkowe w odniesieniu do planu pierwotnego</w:t>
      </w:r>
      <w:r w:rsidR="006323BA" w:rsidRPr="0058008E">
        <w:rPr>
          <w:rFonts w:ascii="Times New Roman" w:hAnsi="Times New Roman"/>
          <w:b w:val="0"/>
          <w:i w:val="0"/>
          <w:sz w:val="24"/>
        </w:rPr>
        <w:t>.</w:t>
      </w:r>
      <w:r w:rsidR="002857B1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415311EF" w14:textId="5C62B1DF" w:rsidR="007E154B" w:rsidRPr="0058008E" w:rsidRDefault="007E154B" w:rsidP="008C408E">
      <w:pPr>
        <w:pStyle w:val="Tekstpodstawowy2"/>
        <w:ind w:left="-142" w:firstLine="85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                                                      Tab.</w:t>
      </w:r>
      <w:r w:rsidR="00467F56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701"/>
        <w:gridCol w:w="1683"/>
        <w:gridCol w:w="1719"/>
      </w:tblGrid>
      <w:tr w:rsidR="003A056D" w:rsidRPr="0058008E" w14:paraId="301D47FA" w14:textId="77777777" w:rsidTr="00F02FCD">
        <w:trPr>
          <w:jc w:val="center"/>
        </w:trPr>
        <w:tc>
          <w:tcPr>
            <w:tcW w:w="2235" w:type="dxa"/>
          </w:tcPr>
          <w:p w14:paraId="2AE3D93D" w14:textId="77777777" w:rsidR="00F2347B" w:rsidRPr="0058008E" w:rsidRDefault="00F2347B" w:rsidP="00E50A83">
            <w:pPr>
              <w:pStyle w:val="Tekstpodstawowy2"/>
              <w:ind w:right="-240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  <w:p w14:paraId="0211C3B8" w14:textId="77777777" w:rsidR="00F2347B" w:rsidRPr="0058008E" w:rsidRDefault="00F2347B" w:rsidP="00E50A83">
            <w:pPr>
              <w:pStyle w:val="Tekstpodstawowy2"/>
              <w:ind w:right="-240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Wyszczególnienie</w:t>
            </w:r>
          </w:p>
        </w:tc>
        <w:tc>
          <w:tcPr>
            <w:tcW w:w="1701" w:type="dxa"/>
          </w:tcPr>
          <w:p w14:paraId="7E8E130D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Budżet pierwotny planowany</w:t>
            </w:r>
          </w:p>
          <w:p w14:paraId="2B7DD62F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uchwała z</w:t>
            </w:r>
          </w:p>
          <w:p w14:paraId="158E883E" w14:textId="4543401C" w:rsidR="00F2347B" w:rsidRPr="0058008E" w:rsidRDefault="00F2347B" w:rsidP="00FF3CB5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dn.</w:t>
            </w:r>
            <w:r w:rsidR="00005B2E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19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.X</w:t>
            </w:r>
            <w:r w:rsidR="00005B2E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II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.202</w:t>
            </w:r>
            <w:r w:rsidR="00005B2E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4</w:t>
            </w:r>
          </w:p>
        </w:tc>
        <w:tc>
          <w:tcPr>
            <w:tcW w:w="1683" w:type="dxa"/>
          </w:tcPr>
          <w:p w14:paraId="180D6AB9" w14:textId="77777777" w:rsidR="00F2347B" w:rsidRPr="0058008E" w:rsidRDefault="00F2347B" w:rsidP="00364529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Budżet</w:t>
            </w:r>
          </w:p>
          <w:p w14:paraId="55C3F786" w14:textId="77777777" w:rsidR="00F2347B" w:rsidRPr="0058008E" w:rsidRDefault="00F2347B" w:rsidP="00364529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końcowy planowany</w:t>
            </w:r>
          </w:p>
          <w:p w14:paraId="59FBB1FC" w14:textId="5795D894" w:rsidR="00F2347B" w:rsidRPr="0058008E" w:rsidRDefault="00F2347B" w:rsidP="00364529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 xml:space="preserve">na dzień 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31.XII.202</w:t>
            </w:r>
            <w:r w:rsidR="00005B2E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5</w:t>
            </w:r>
          </w:p>
        </w:tc>
        <w:tc>
          <w:tcPr>
            <w:tcW w:w="1719" w:type="dxa"/>
            <w:vAlign w:val="center"/>
          </w:tcPr>
          <w:p w14:paraId="27E7F660" w14:textId="77777777" w:rsidR="00F2347B" w:rsidRPr="0058008E" w:rsidRDefault="00F2347B" w:rsidP="00364529">
            <w:pPr>
              <w:pStyle w:val="Tekstpodstawowy2"/>
              <w:ind w:right="-24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Zmiany planu</w:t>
            </w:r>
          </w:p>
          <w:p w14:paraId="08E394F3" w14:textId="77777777" w:rsidR="00F2347B" w:rsidRPr="0058008E" w:rsidRDefault="00F2347B" w:rsidP="00364529">
            <w:pPr>
              <w:pStyle w:val="Tekstpodstawowy2"/>
              <w:ind w:right="-24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dochodów</w:t>
            </w:r>
          </w:p>
          <w:p w14:paraId="1DD5DA1D" w14:textId="77777777" w:rsidR="00F2347B" w:rsidRPr="0058008E" w:rsidRDefault="00F2347B" w:rsidP="00E50A83">
            <w:pPr>
              <w:pStyle w:val="Tekstpodstawowy2"/>
              <w:ind w:right="-24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</w:p>
        </w:tc>
      </w:tr>
      <w:tr w:rsidR="003A056D" w:rsidRPr="0058008E" w14:paraId="44FFDA03" w14:textId="77777777" w:rsidTr="00F02FCD">
        <w:trPr>
          <w:trHeight w:val="514"/>
          <w:jc w:val="center"/>
        </w:trPr>
        <w:tc>
          <w:tcPr>
            <w:tcW w:w="2235" w:type="dxa"/>
            <w:vAlign w:val="center"/>
          </w:tcPr>
          <w:p w14:paraId="6E5F198F" w14:textId="5A569756" w:rsidR="00F2347B" w:rsidRPr="0058008E" w:rsidRDefault="00AB103B" w:rsidP="00E50A83">
            <w:pPr>
              <w:pStyle w:val="Tekstpodstawowy2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dochody bieżące</w:t>
            </w:r>
          </w:p>
          <w:p w14:paraId="516477B0" w14:textId="77777777" w:rsidR="00F2347B" w:rsidRPr="0058008E" w:rsidRDefault="00F2347B" w:rsidP="00E50A83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5074C8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279CC7F7" w14:textId="73DB3899" w:rsidR="00F2347B" w:rsidRPr="0058008E" w:rsidRDefault="0011404E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458.902.168</w:t>
            </w:r>
          </w:p>
          <w:p w14:paraId="44B0281F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34FFFB7D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5B5FB629" w14:textId="2AC718E9" w:rsidR="00F2347B" w:rsidRPr="0058008E" w:rsidRDefault="00005B2E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501.605.908</w:t>
            </w:r>
          </w:p>
          <w:p w14:paraId="01DC353D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77F31FAD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45132ABB" w14:textId="6ABCF645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 xml:space="preserve">+ </w:t>
            </w:r>
            <w:r w:rsidR="002F2A48" w:rsidRPr="0058008E">
              <w:rPr>
                <w:rFonts w:ascii="Times New Roman" w:hAnsi="Times New Roman"/>
                <w:i w:val="0"/>
                <w:sz w:val="16"/>
                <w:szCs w:val="16"/>
              </w:rPr>
              <w:t>42.703.740</w:t>
            </w:r>
          </w:p>
          <w:p w14:paraId="0B5B34A8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</w:tr>
      <w:tr w:rsidR="003A056D" w:rsidRPr="0058008E" w14:paraId="785E46F5" w14:textId="77777777" w:rsidTr="00F02FCD">
        <w:trPr>
          <w:trHeight w:val="553"/>
          <w:jc w:val="center"/>
        </w:trPr>
        <w:tc>
          <w:tcPr>
            <w:tcW w:w="2235" w:type="dxa"/>
            <w:vAlign w:val="center"/>
          </w:tcPr>
          <w:p w14:paraId="265B7BC9" w14:textId="77777777" w:rsidR="00F2347B" w:rsidRPr="0058008E" w:rsidRDefault="00F2347B" w:rsidP="00E50A83">
            <w:pPr>
              <w:pStyle w:val="Tekstpodstawowy2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dochody majątkowe</w:t>
            </w:r>
          </w:p>
          <w:p w14:paraId="1EA88791" w14:textId="77777777" w:rsidR="00F2347B" w:rsidRPr="0058008E" w:rsidRDefault="00F2347B" w:rsidP="00E50A83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658C55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4CC57DBB" w14:textId="5D78717C" w:rsidR="00F2347B" w:rsidRPr="0058008E" w:rsidRDefault="0011404E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74.497.832</w:t>
            </w:r>
          </w:p>
          <w:p w14:paraId="4F755B81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  <w:tc>
          <w:tcPr>
            <w:tcW w:w="1683" w:type="dxa"/>
          </w:tcPr>
          <w:p w14:paraId="64444545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2A224701" w14:textId="0B809557" w:rsidR="00F2347B" w:rsidRPr="0058008E" w:rsidRDefault="00005B2E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104.131.363</w:t>
            </w:r>
          </w:p>
          <w:p w14:paraId="000AAA2A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  <w:tc>
          <w:tcPr>
            <w:tcW w:w="1719" w:type="dxa"/>
          </w:tcPr>
          <w:p w14:paraId="342EB499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7ED312EB" w14:textId="6276DA44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  <w:vertAlign w:val="superscript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 xml:space="preserve">+ </w:t>
            </w:r>
            <w:r w:rsidR="002F2A48" w:rsidRPr="0058008E">
              <w:rPr>
                <w:rFonts w:ascii="Times New Roman" w:hAnsi="Times New Roman"/>
                <w:i w:val="0"/>
                <w:sz w:val="16"/>
                <w:szCs w:val="16"/>
              </w:rPr>
              <w:t>29.633.531</w:t>
            </w:r>
          </w:p>
          <w:p w14:paraId="0289B7D6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</w:tr>
      <w:tr w:rsidR="00F2347B" w:rsidRPr="0058008E" w14:paraId="68986105" w14:textId="77777777" w:rsidTr="00F02FCD">
        <w:trPr>
          <w:jc w:val="center"/>
        </w:trPr>
        <w:tc>
          <w:tcPr>
            <w:tcW w:w="2235" w:type="dxa"/>
            <w:vAlign w:val="center"/>
          </w:tcPr>
          <w:p w14:paraId="53D52A61" w14:textId="77777777" w:rsidR="00F2347B" w:rsidRPr="0058008E" w:rsidRDefault="00F2347B" w:rsidP="00E50A83">
            <w:pPr>
              <w:pStyle w:val="Tekstpodstawowy2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DOCHODY OGÓŁEM</w:t>
            </w:r>
          </w:p>
        </w:tc>
        <w:tc>
          <w:tcPr>
            <w:tcW w:w="1701" w:type="dxa"/>
            <w:vAlign w:val="center"/>
          </w:tcPr>
          <w:p w14:paraId="33C7A215" w14:textId="138DB615" w:rsidR="00F2347B" w:rsidRPr="0058008E" w:rsidRDefault="0011404E" w:rsidP="00E50A83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533.400.000</w:t>
            </w:r>
          </w:p>
          <w:p w14:paraId="0CA1C71D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1683" w:type="dxa"/>
            <w:vAlign w:val="center"/>
          </w:tcPr>
          <w:p w14:paraId="356061F4" w14:textId="4FA45C18" w:rsidR="00F2347B" w:rsidRPr="0058008E" w:rsidRDefault="00005B2E" w:rsidP="00E50A83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605.737.271</w:t>
            </w:r>
          </w:p>
          <w:p w14:paraId="4D9A8CE1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</w:rPr>
            </w:pPr>
          </w:p>
        </w:tc>
        <w:tc>
          <w:tcPr>
            <w:tcW w:w="1719" w:type="dxa"/>
            <w:vAlign w:val="center"/>
          </w:tcPr>
          <w:p w14:paraId="3D1B7944" w14:textId="4066D725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+</w:t>
            </w:r>
            <w:r w:rsidR="002F2A48" w:rsidRPr="0058008E">
              <w:rPr>
                <w:rFonts w:ascii="Times New Roman" w:hAnsi="Times New Roman"/>
                <w:i w:val="0"/>
              </w:rPr>
              <w:t>72.337.271</w:t>
            </w:r>
          </w:p>
          <w:p w14:paraId="62080443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</w:rPr>
            </w:pPr>
          </w:p>
        </w:tc>
      </w:tr>
    </w:tbl>
    <w:p w14:paraId="38CEDF20" w14:textId="77777777" w:rsidR="00CB139D" w:rsidRPr="0058008E" w:rsidRDefault="00CB139D" w:rsidP="007E154B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1CA7CF16" w14:textId="2E896043" w:rsidR="00565BD7" w:rsidRPr="0058008E" w:rsidRDefault="00565BD7" w:rsidP="00B317F1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73528E16" w14:textId="19062AE2" w:rsidR="007E154B" w:rsidRPr="0058008E" w:rsidRDefault="007E154B" w:rsidP="00A12141">
      <w:pPr>
        <w:pStyle w:val="Tekstpodstawowy2"/>
        <w:ind w:left="7080"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Tab.</w:t>
      </w:r>
      <w:r w:rsidR="00CB139D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1701"/>
        <w:gridCol w:w="1701"/>
      </w:tblGrid>
      <w:tr w:rsidR="003A056D" w:rsidRPr="0058008E" w14:paraId="035F39B0" w14:textId="77777777" w:rsidTr="00F02FCD">
        <w:trPr>
          <w:trHeight w:val="517"/>
          <w:jc w:val="center"/>
        </w:trPr>
        <w:tc>
          <w:tcPr>
            <w:tcW w:w="2093" w:type="dxa"/>
          </w:tcPr>
          <w:p w14:paraId="4121DC6D" w14:textId="77777777" w:rsidR="00F2347B" w:rsidRPr="0058008E" w:rsidRDefault="00F2347B" w:rsidP="004F04F2">
            <w:pPr>
              <w:pStyle w:val="Tekstpodstawowy2"/>
              <w:ind w:right="-240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  <w:p w14:paraId="4B1213F2" w14:textId="77777777" w:rsidR="00F2347B" w:rsidRPr="0058008E" w:rsidRDefault="00F2347B" w:rsidP="004F04F2">
            <w:pPr>
              <w:pStyle w:val="Tekstpodstawowy2"/>
              <w:ind w:right="-240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</w:tcPr>
          <w:p w14:paraId="0F93F64C" w14:textId="77777777" w:rsidR="00F2347B" w:rsidRPr="0058008E" w:rsidRDefault="00F2347B" w:rsidP="00364529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Budżet pierwotny planowany</w:t>
            </w:r>
          </w:p>
          <w:p w14:paraId="3A5C6ABF" w14:textId="77777777" w:rsidR="00F2347B" w:rsidRPr="0058008E" w:rsidRDefault="00F2347B" w:rsidP="00364529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uchwała z</w:t>
            </w:r>
          </w:p>
          <w:p w14:paraId="0677F084" w14:textId="3B7BD80E" w:rsidR="00F2347B" w:rsidRPr="0058008E" w:rsidRDefault="00563CCE" w:rsidP="00364529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dn.</w:t>
            </w:r>
            <w:r w:rsidR="0020602A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1</w:t>
            </w:r>
            <w:r w:rsidR="002F2A48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9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.X</w:t>
            </w:r>
            <w:r w:rsidR="002F2A48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II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.202</w:t>
            </w:r>
            <w:r w:rsidR="002F2A48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4252A43C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Budżet końcowy</w:t>
            </w:r>
          </w:p>
          <w:p w14:paraId="7773790C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planowany</w:t>
            </w:r>
          </w:p>
          <w:p w14:paraId="23F7A6BD" w14:textId="77777777" w:rsidR="00F2347B" w:rsidRPr="0058008E" w:rsidRDefault="00F2347B" w:rsidP="00E50A83">
            <w:pPr>
              <w:pStyle w:val="Tekstpodstawowy2"/>
              <w:ind w:right="-24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po zmianach na</w:t>
            </w:r>
          </w:p>
          <w:p w14:paraId="6EC4715B" w14:textId="72C311D1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31.XII.2</w:t>
            </w:r>
            <w:r w:rsidR="00563CCE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02</w:t>
            </w:r>
            <w:r w:rsidR="002F2A48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13DA1F4" w14:textId="77777777" w:rsidR="00F2347B" w:rsidRPr="0058008E" w:rsidRDefault="00F2347B" w:rsidP="00E50A83">
            <w:pPr>
              <w:pStyle w:val="Tekstpodstawowy2"/>
              <w:ind w:right="-24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Zmiany planu</w:t>
            </w:r>
          </w:p>
          <w:p w14:paraId="347AC4B7" w14:textId="77777777" w:rsidR="00F2347B" w:rsidRPr="0058008E" w:rsidRDefault="00F2347B" w:rsidP="00E50A83">
            <w:pPr>
              <w:pStyle w:val="Tekstpodstawowy2"/>
              <w:ind w:right="-24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wydatków</w:t>
            </w:r>
          </w:p>
          <w:p w14:paraId="64D9675D" w14:textId="77777777" w:rsidR="00F2347B" w:rsidRPr="0058008E" w:rsidRDefault="00F2347B" w:rsidP="00E50A83">
            <w:pPr>
              <w:pStyle w:val="Tekstpodstawowy2"/>
              <w:ind w:right="-24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</w:p>
        </w:tc>
      </w:tr>
      <w:tr w:rsidR="003A056D" w:rsidRPr="0058008E" w14:paraId="5C3BCE72" w14:textId="77777777" w:rsidTr="00F02FCD">
        <w:trPr>
          <w:trHeight w:val="378"/>
          <w:jc w:val="center"/>
        </w:trPr>
        <w:tc>
          <w:tcPr>
            <w:tcW w:w="2093" w:type="dxa"/>
            <w:vAlign w:val="center"/>
          </w:tcPr>
          <w:p w14:paraId="7734B71A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wydatki bieżące</w:t>
            </w:r>
          </w:p>
          <w:p w14:paraId="3C615A0E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DC89D6E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144C76B5" w14:textId="52AD25FD" w:rsidR="00F2347B" w:rsidRPr="0058008E" w:rsidRDefault="00116D2D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502.702.000</w:t>
            </w:r>
          </w:p>
          <w:p w14:paraId="5472A70A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7F07B1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1D570212" w14:textId="1E657887" w:rsidR="00F2347B" w:rsidRPr="0058008E" w:rsidRDefault="007B18B7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535.847.771</w:t>
            </w:r>
          </w:p>
          <w:p w14:paraId="2DF72E2D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B352AE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4077D15A" w14:textId="4AE06E18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 xml:space="preserve">+ </w:t>
            </w:r>
            <w:r w:rsidR="00116D2D" w:rsidRPr="0058008E">
              <w:rPr>
                <w:rFonts w:ascii="Times New Roman" w:hAnsi="Times New Roman"/>
                <w:i w:val="0"/>
                <w:sz w:val="16"/>
                <w:szCs w:val="16"/>
              </w:rPr>
              <w:t>33.145.771</w:t>
            </w:r>
          </w:p>
          <w:p w14:paraId="4FA73226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</w:tr>
      <w:tr w:rsidR="003A056D" w:rsidRPr="0058008E" w14:paraId="1B81730D" w14:textId="77777777" w:rsidTr="00F02FCD">
        <w:trPr>
          <w:jc w:val="center"/>
        </w:trPr>
        <w:tc>
          <w:tcPr>
            <w:tcW w:w="2093" w:type="dxa"/>
            <w:vAlign w:val="center"/>
          </w:tcPr>
          <w:p w14:paraId="7D6BC1CE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wydatki majątkowe</w:t>
            </w:r>
          </w:p>
          <w:p w14:paraId="29F6E63C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FEB62EF" w14:textId="77777777" w:rsidR="00F2347B" w:rsidRPr="0058008E" w:rsidRDefault="00F2347B" w:rsidP="00EE4D91">
            <w:pPr>
              <w:pStyle w:val="Tekstpodstawowy2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043F748C" w14:textId="2309A463" w:rsidR="00F2347B" w:rsidRPr="0058008E" w:rsidRDefault="00116D2D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87.560.000</w:t>
            </w:r>
          </w:p>
          <w:p w14:paraId="1166CCF2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  <w:tc>
          <w:tcPr>
            <w:tcW w:w="1701" w:type="dxa"/>
          </w:tcPr>
          <w:p w14:paraId="2FD1083A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01356846" w14:textId="5C1D9064" w:rsidR="00F2347B" w:rsidRPr="0058008E" w:rsidRDefault="0020602A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8</w:t>
            </w:r>
            <w:r w:rsidR="007B18B7" w:rsidRPr="0058008E">
              <w:rPr>
                <w:rFonts w:ascii="Times New Roman" w:hAnsi="Times New Roman"/>
                <w:i w:val="0"/>
                <w:sz w:val="16"/>
                <w:szCs w:val="16"/>
              </w:rPr>
              <w:t>0</w:t>
            </w: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.</w:t>
            </w:r>
            <w:r w:rsidR="007B18B7" w:rsidRPr="0058008E">
              <w:rPr>
                <w:rFonts w:ascii="Times New Roman" w:hAnsi="Times New Roman"/>
                <w:i w:val="0"/>
                <w:sz w:val="16"/>
                <w:szCs w:val="16"/>
              </w:rPr>
              <w:t>183</w:t>
            </w: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.5</w:t>
            </w:r>
            <w:r w:rsidR="007B18B7" w:rsidRPr="0058008E">
              <w:rPr>
                <w:rFonts w:ascii="Times New Roman" w:hAnsi="Times New Roman"/>
                <w:i w:val="0"/>
                <w:sz w:val="16"/>
                <w:szCs w:val="16"/>
              </w:rPr>
              <w:t>00</w:t>
            </w:r>
          </w:p>
          <w:p w14:paraId="78EDF8AD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  <w:tc>
          <w:tcPr>
            <w:tcW w:w="1701" w:type="dxa"/>
          </w:tcPr>
          <w:p w14:paraId="5C6A0E57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  <w:sz w:val="16"/>
                <w:szCs w:val="16"/>
              </w:rPr>
            </w:pPr>
          </w:p>
          <w:p w14:paraId="6BB510F8" w14:textId="7655A6D1" w:rsidR="00F2347B" w:rsidRPr="0058008E" w:rsidRDefault="00116D2D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  <w:vertAlign w:val="superscript"/>
              </w:rPr>
            </w:pP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 xml:space="preserve">  </w:t>
            </w:r>
            <w:r w:rsidR="003B71C1" w:rsidRPr="0058008E">
              <w:rPr>
                <w:rFonts w:ascii="Times New Roman" w:hAnsi="Times New Roman"/>
                <w:i w:val="0"/>
                <w:sz w:val="16"/>
                <w:szCs w:val="16"/>
              </w:rPr>
              <w:t>-</w:t>
            </w:r>
            <w:r w:rsidRPr="0058008E">
              <w:rPr>
                <w:rFonts w:ascii="Times New Roman" w:hAnsi="Times New Roman"/>
                <w:i w:val="0"/>
                <w:sz w:val="16"/>
                <w:szCs w:val="16"/>
              </w:rPr>
              <w:t>7.376.500</w:t>
            </w:r>
          </w:p>
          <w:p w14:paraId="1C58F37B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</w:p>
        </w:tc>
      </w:tr>
      <w:tr w:rsidR="00F2347B" w:rsidRPr="0058008E" w14:paraId="014FFC87" w14:textId="77777777" w:rsidTr="00F02FCD">
        <w:trPr>
          <w:jc w:val="center"/>
        </w:trPr>
        <w:tc>
          <w:tcPr>
            <w:tcW w:w="2093" w:type="dxa"/>
            <w:vAlign w:val="center"/>
          </w:tcPr>
          <w:p w14:paraId="50278A7F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WYDATKI OGÓŁEM</w:t>
            </w:r>
          </w:p>
        </w:tc>
        <w:tc>
          <w:tcPr>
            <w:tcW w:w="1843" w:type="dxa"/>
          </w:tcPr>
          <w:p w14:paraId="17F8FCA3" w14:textId="7D26AA58" w:rsidR="00F2347B" w:rsidRPr="0058008E" w:rsidRDefault="0020602A" w:rsidP="00E50A83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5</w:t>
            </w:r>
            <w:r w:rsidR="007B18B7" w:rsidRPr="0058008E">
              <w:rPr>
                <w:rFonts w:ascii="Times New Roman" w:hAnsi="Times New Roman"/>
                <w:i w:val="0"/>
              </w:rPr>
              <w:t>9</w:t>
            </w:r>
            <w:r w:rsidRPr="0058008E">
              <w:rPr>
                <w:rFonts w:ascii="Times New Roman" w:hAnsi="Times New Roman"/>
                <w:i w:val="0"/>
              </w:rPr>
              <w:t>0.</w:t>
            </w:r>
            <w:r w:rsidR="007B18B7" w:rsidRPr="0058008E">
              <w:rPr>
                <w:rFonts w:ascii="Times New Roman" w:hAnsi="Times New Roman"/>
                <w:i w:val="0"/>
              </w:rPr>
              <w:t>262</w:t>
            </w:r>
            <w:r w:rsidRPr="0058008E">
              <w:rPr>
                <w:rFonts w:ascii="Times New Roman" w:hAnsi="Times New Roman"/>
                <w:i w:val="0"/>
              </w:rPr>
              <w:t>.</w:t>
            </w:r>
            <w:r w:rsidR="007B18B7" w:rsidRPr="0058008E">
              <w:rPr>
                <w:rFonts w:ascii="Times New Roman" w:hAnsi="Times New Roman"/>
                <w:i w:val="0"/>
              </w:rPr>
              <w:t>0</w:t>
            </w:r>
            <w:r w:rsidRPr="0058008E">
              <w:rPr>
                <w:rFonts w:ascii="Times New Roman" w:hAnsi="Times New Roman"/>
                <w:i w:val="0"/>
              </w:rPr>
              <w:t>00</w:t>
            </w:r>
          </w:p>
          <w:p w14:paraId="4600AC2B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</w:rPr>
            </w:pPr>
          </w:p>
        </w:tc>
        <w:tc>
          <w:tcPr>
            <w:tcW w:w="1701" w:type="dxa"/>
          </w:tcPr>
          <w:p w14:paraId="22D9B4E1" w14:textId="53C7CF66" w:rsidR="00F2347B" w:rsidRPr="0058008E" w:rsidRDefault="007B18B7" w:rsidP="00E50A83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616.031.271</w:t>
            </w:r>
          </w:p>
          <w:p w14:paraId="14FCEB9D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</w:rPr>
            </w:pPr>
          </w:p>
        </w:tc>
        <w:tc>
          <w:tcPr>
            <w:tcW w:w="1701" w:type="dxa"/>
          </w:tcPr>
          <w:p w14:paraId="45E7B1A3" w14:textId="04410EC3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 xml:space="preserve">+ </w:t>
            </w:r>
            <w:r w:rsidR="00527F6F" w:rsidRPr="0058008E">
              <w:rPr>
                <w:rFonts w:ascii="Times New Roman" w:hAnsi="Times New Roman"/>
                <w:i w:val="0"/>
              </w:rPr>
              <w:t>2</w:t>
            </w:r>
            <w:r w:rsidR="007B18B7" w:rsidRPr="0058008E">
              <w:rPr>
                <w:rFonts w:ascii="Times New Roman" w:hAnsi="Times New Roman"/>
                <w:i w:val="0"/>
              </w:rPr>
              <w:t>5</w:t>
            </w:r>
            <w:r w:rsidR="00527F6F" w:rsidRPr="0058008E">
              <w:rPr>
                <w:rFonts w:ascii="Times New Roman" w:hAnsi="Times New Roman"/>
                <w:i w:val="0"/>
              </w:rPr>
              <w:t>.7</w:t>
            </w:r>
            <w:r w:rsidR="007B18B7" w:rsidRPr="0058008E">
              <w:rPr>
                <w:rFonts w:ascii="Times New Roman" w:hAnsi="Times New Roman"/>
                <w:i w:val="0"/>
              </w:rPr>
              <w:t>69</w:t>
            </w:r>
            <w:r w:rsidR="00527F6F" w:rsidRPr="0058008E">
              <w:rPr>
                <w:rFonts w:ascii="Times New Roman" w:hAnsi="Times New Roman"/>
                <w:i w:val="0"/>
              </w:rPr>
              <w:t>.2</w:t>
            </w:r>
            <w:r w:rsidR="007B18B7" w:rsidRPr="0058008E">
              <w:rPr>
                <w:rFonts w:ascii="Times New Roman" w:hAnsi="Times New Roman"/>
                <w:i w:val="0"/>
              </w:rPr>
              <w:t>71</w:t>
            </w:r>
          </w:p>
          <w:p w14:paraId="64969E9E" w14:textId="77777777" w:rsidR="00F2347B" w:rsidRPr="0058008E" w:rsidRDefault="00F2347B" w:rsidP="00E50A8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</w:rPr>
            </w:pPr>
          </w:p>
        </w:tc>
      </w:tr>
    </w:tbl>
    <w:p w14:paraId="084FC282" w14:textId="77777777" w:rsidR="00744C1F" w:rsidRPr="0058008E" w:rsidRDefault="00744C1F" w:rsidP="008C408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50DE12C3" w14:textId="77777777" w:rsidR="006323BA" w:rsidRPr="0058008E" w:rsidRDefault="006323BA" w:rsidP="008C408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194E3F0A" w14:textId="77777777" w:rsidR="006323BA" w:rsidRPr="0058008E" w:rsidRDefault="006323BA" w:rsidP="008C408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2FAF76FB" w14:textId="77777777" w:rsidR="006323BA" w:rsidRPr="0058008E" w:rsidRDefault="006323BA" w:rsidP="008C408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5A60F932" w14:textId="69D51C66" w:rsidR="006D0CE0" w:rsidRPr="0058008E" w:rsidRDefault="00EA1F6C" w:rsidP="008C408E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Po wprowadzeniu wszystkich wyżej wymienionych zmian</w:t>
      </w:r>
      <w:r w:rsidR="00194FC0" w:rsidRPr="0058008E">
        <w:rPr>
          <w:rFonts w:ascii="Times New Roman" w:hAnsi="Times New Roman"/>
          <w:b w:val="0"/>
          <w:i w:val="0"/>
          <w:sz w:val="24"/>
        </w:rPr>
        <w:t>,</w:t>
      </w:r>
      <w:r w:rsidRPr="0058008E">
        <w:rPr>
          <w:rFonts w:ascii="Times New Roman" w:hAnsi="Times New Roman"/>
          <w:b w:val="0"/>
          <w:i w:val="0"/>
          <w:sz w:val="24"/>
        </w:rPr>
        <w:t xml:space="preserve"> ostateczny </w:t>
      </w:r>
      <w:r w:rsidR="00B915F2" w:rsidRPr="0058008E">
        <w:rPr>
          <w:rFonts w:ascii="Times New Roman" w:hAnsi="Times New Roman"/>
          <w:b w:val="0"/>
          <w:i w:val="0"/>
          <w:sz w:val="24"/>
        </w:rPr>
        <w:t>budżet zamknął</w:t>
      </w:r>
      <w:r w:rsidR="00601C86" w:rsidRPr="0058008E">
        <w:rPr>
          <w:rFonts w:ascii="Times New Roman" w:hAnsi="Times New Roman"/>
          <w:b w:val="0"/>
          <w:i w:val="0"/>
          <w:sz w:val="24"/>
        </w:rPr>
        <w:t xml:space="preserve"> się w kwotach</w:t>
      </w:r>
      <w:r w:rsidRPr="0058008E">
        <w:rPr>
          <w:rFonts w:ascii="Times New Roman" w:hAnsi="Times New Roman"/>
          <w:b w:val="0"/>
          <w:i w:val="0"/>
          <w:sz w:val="24"/>
        </w:rPr>
        <w:t>:</w:t>
      </w:r>
    </w:p>
    <w:p w14:paraId="4AC4592F" w14:textId="1AAC0EDC" w:rsidR="00EA1F6C" w:rsidRPr="0058008E" w:rsidRDefault="00EA1F6C" w:rsidP="00133AA9">
      <w:pPr>
        <w:pStyle w:val="Tekstpodstawowy2"/>
        <w:numPr>
          <w:ilvl w:val="0"/>
          <w:numId w:val="3"/>
        </w:numPr>
        <w:tabs>
          <w:tab w:val="clear" w:pos="360"/>
          <w:tab w:val="num" w:pos="2136"/>
        </w:tabs>
        <w:ind w:left="2136"/>
        <w:jc w:val="both"/>
        <w:rPr>
          <w:rFonts w:ascii="Times New Roman" w:hAnsi="Times New Roman"/>
          <w:sz w:val="24"/>
        </w:rPr>
      </w:pPr>
      <w:r w:rsidRPr="0058008E">
        <w:rPr>
          <w:rFonts w:ascii="Times New Roman" w:hAnsi="Times New Roman"/>
          <w:sz w:val="24"/>
        </w:rPr>
        <w:t>prognozowane dochody</w:t>
      </w:r>
      <w:r w:rsidR="007E154B" w:rsidRPr="0058008E">
        <w:rPr>
          <w:rFonts w:ascii="Times New Roman" w:hAnsi="Times New Roman"/>
          <w:sz w:val="24"/>
        </w:rPr>
        <w:tab/>
      </w:r>
      <w:r w:rsidR="007E154B" w:rsidRPr="0058008E">
        <w:rPr>
          <w:rFonts w:ascii="Times New Roman" w:hAnsi="Times New Roman"/>
          <w:sz w:val="24"/>
        </w:rPr>
        <w:tab/>
        <w:t xml:space="preserve"> </w:t>
      </w:r>
      <w:r w:rsidR="002F2A48" w:rsidRPr="0058008E">
        <w:rPr>
          <w:rFonts w:ascii="Times New Roman" w:hAnsi="Times New Roman"/>
          <w:sz w:val="24"/>
        </w:rPr>
        <w:t>605.737.271</w:t>
      </w:r>
      <w:r w:rsidRPr="0058008E">
        <w:rPr>
          <w:rFonts w:ascii="Times New Roman" w:hAnsi="Times New Roman"/>
          <w:sz w:val="24"/>
        </w:rPr>
        <w:t xml:space="preserve"> zł</w:t>
      </w:r>
    </w:p>
    <w:p w14:paraId="699E308C" w14:textId="54A9BA3F" w:rsidR="008C408E" w:rsidRPr="0058008E" w:rsidRDefault="00EA1F6C" w:rsidP="00133AA9">
      <w:pPr>
        <w:pStyle w:val="Tekstpodstawowy2"/>
        <w:numPr>
          <w:ilvl w:val="0"/>
          <w:numId w:val="3"/>
        </w:numPr>
        <w:tabs>
          <w:tab w:val="clear" w:pos="360"/>
          <w:tab w:val="num" w:pos="2136"/>
        </w:tabs>
        <w:ind w:left="2136"/>
        <w:jc w:val="both"/>
        <w:rPr>
          <w:rFonts w:ascii="Times New Roman" w:hAnsi="Times New Roman"/>
          <w:sz w:val="24"/>
        </w:rPr>
      </w:pPr>
      <w:r w:rsidRPr="0058008E">
        <w:rPr>
          <w:rFonts w:ascii="Times New Roman" w:hAnsi="Times New Roman"/>
          <w:sz w:val="24"/>
        </w:rPr>
        <w:t>planowane wydatki</w:t>
      </w:r>
      <w:r w:rsidRPr="0058008E">
        <w:rPr>
          <w:rFonts w:ascii="Times New Roman" w:hAnsi="Times New Roman"/>
          <w:sz w:val="24"/>
        </w:rPr>
        <w:tab/>
      </w:r>
      <w:r w:rsidRPr="0058008E">
        <w:rPr>
          <w:rFonts w:ascii="Times New Roman" w:hAnsi="Times New Roman"/>
          <w:sz w:val="24"/>
        </w:rPr>
        <w:tab/>
      </w:r>
      <w:r w:rsidR="006D0CE0" w:rsidRPr="0058008E">
        <w:rPr>
          <w:rFonts w:ascii="Times New Roman" w:hAnsi="Times New Roman"/>
          <w:sz w:val="24"/>
        </w:rPr>
        <w:t xml:space="preserve">        </w:t>
      </w:r>
      <w:r w:rsidR="00326919" w:rsidRPr="0058008E">
        <w:rPr>
          <w:rFonts w:ascii="Times New Roman" w:hAnsi="Times New Roman"/>
          <w:sz w:val="24"/>
        </w:rPr>
        <w:t xml:space="preserve"> </w:t>
      </w:r>
      <w:r w:rsidR="00EC24B5">
        <w:rPr>
          <w:rFonts w:ascii="Times New Roman" w:hAnsi="Times New Roman"/>
          <w:sz w:val="24"/>
        </w:rPr>
        <w:t xml:space="preserve">   </w:t>
      </w:r>
      <w:r w:rsidR="002F2A48" w:rsidRPr="0058008E">
        <w:rPr>
          <w:rFonts w:ascii="Times New Roman" w:hAnsi="Times New Roman"/>
          <w:sz w:val="24"/>
        </w:rPr>
        <w:t>616</w:t>
      </w:r>
      <w:r w:rsidR="00AD6BE5" w:rsidRPr="0058008E">
        <w:rPr>
          <w:rFonts w:ascii="Times New Roman" w:hAnsi="Times New Roman"/>
          <w:sz w:val="24"/>
        </w:rPr>
        <w:t>.</w:t>
      </w:r>
      <w:r w:rsidR="002F2A48" w:rsidRPr="0058008E">
        <w:rPr>
          <w:rFonts w:ascii="Times New Roman" w:hAnsi="Times New Roman"/>
          <w:sz w:val="24"/>
        </w:rPr>
        <w:t>031</w:t>
      </w:r>
      <w:r w:rsidR="003B71C1" w:rsidRPr="0058008E">
        <w:rPr>
          <w:rFonts w:ascii="Times New Roman" w:hAnsi="Times New Roman"/>
          <w:sz w:val="24"/>
        </w:rPr>
        <w:t>.</w:t>
      </w:r>
      <w:r w:rsidR="002F2A48" w:rsidRPr="0058008E">
        <w:rPr>
          <w:rFonts w:ascii="Times New Roman" w:hAnsi="Times New Roman"/>
          <w:sz w:val="24"/>
        </w:rPr>
        <w:t>271</w:t>
      </w:r>
      <w:r w:rsidR="003B71C1" w:rsidRPr="0058008E">
        <w:rPr>
          <w:rFonts w:ascii="Times New Roman" w:hAnsi="Times New Roman"/>
          <w:sz w:val="24"/>
        </w:rPr>
        <w:t xml:space="preserve"> </w:t>
      </w:r>
      <w:r w:rsidR="00F51718" w:rsidRPr="0058008E">
        <w:rPr>
          <w:rFonts w:ascii="Times New Roman" w:hAnsi="Times New Roman"/>
          <w:sz w:val="24"/>
        </w:rPr>
        <w:t>z</w:t>
      </w:r>
      <w:r w:rsidR="00E3231E" w:rsidRPr="0058008E">
        <w:rPr>
          <w:rFonts w:ascii="Times New Roman" w:hAnsi="Times New Roman"/>
          <w:sz w:val="24"/>
        </w:rPr>
        <w:t>ł</w:t>
      </w:r>
    </w:p>
    <w:p w14:paraId="64AD9781" w14:textId="77777777" w:rsidR="0058008E" w:rsidRDefault="0058008E" w:rsidP="006C0285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</w:rPr>
      </w:pPr>
    </w:p>
    <w:p w14:paraId="1BA6A23A" w14:textId="77777777" w:rsidR="0058008E" w:rsidRDefault="0058008E" w:rsidP="006C0285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</w:rPr>
      </w:pPr>
    </w:p>
    <w:p w14:paraId="3B0871AF" w14:textId="77777777" w:rsidR="0058008E" w:rsidRDefault="0058008E" w:rsidP="006C0285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</w:rPr>
      </w:pPr>
    </w:p>
    <w:p w14:paraId="74B947D8" w14:textId="62AA5193" w:rsidR="006C0285" w:rsidRPr="0058008E" w:rsidRDefault="006C0285" w:rsidP="006C0285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</w:rPr>
      </w:pPr>
      <w:r w:rsidRPr="0058008E">
        <w:rPr>
          <w:rFonts w:ascii="Times New Roman" w:hAnsi="Times New Roman"/>
          <w:i w:val="0"/>
          <w:sz w:val="24"/>
        </w:rPr>
        <w:lastRenderedPageBreak/>
        <w:t>DOCHODY</w:t>
      </w:r>
    </w:p>
    <w:p w14:paraId="03061346" w14:textId="77777777" w:rsidR="006C0285" w:rsidRPr="0058008E" w:rsidRDefault="006C0285" w:rsidP="006C0285">
      <w:pPr>
        <w:pStyle w:val="Tekstpodstawowy2"/>
        <w:rPr>
          <w:rFonts w:ascii="Times New Roman" w:hAnsi="Times New Roman"/>
          <w:color w:val="EE0000"/>
        </w:rPr>
      </w:pPr>
    </w:p>
    <w:p w14:paraId="1B1E03D4" w14:textId="3C7732F9" w:rsidR="00194FC0" w:rsidRPr="0058008E" w:rsidRDefault="002C06B0" w:rsidP="00033F97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Dochod</w:t>
      </w:r>
      <w:r w:rsidR="006033D2" w:rsidRPr="0058008E">
        <w:rPr>
          <w:rFonts w:ascii="Times New Roman" w:hAnsi="Times New Roman"/>
          <w:b w:val="0"/>
          <w:i w:val="0"/>
          <w:sz w:val="24"/>
        </w:rPr>
        <w:t>y budżetowe w 20</w:t>
      </w:r>
      <w:r w:rsidR="00BA00CC" w:rsidRPr="0058008E">
        <w:rPr>
          <w:rFonts w:ascii="Times New Roman" w:hAnsi="Times New Roman"/>
          <w:b w:val="0"/>
          <w:i w:val="0"/>
          <w:sz w:val="24"/>
        </w:rPr>
        <w:t>2</w:t>
      </w:r>
      <w:r w:rsidR="007B6AEA" w:rsidRPr="0058008E">
        <w:rPr>
          <w:rFonts w:ascii="Times New Roman" w:hAnsi="Times New Roman"/>
          <w:b w:val="0"/>
          <w:i w:val="0"/>
          <w:sz w:val="24"/>
        </w:rPr>
        <w:t>5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roku wykonane</w:t>
      </w:r>
      <w:r w:rsidR="005521AC" w:rsidRPr="0058008E">
        <w:rPr>
          <w:rFonts w:ascii="Times New Roman" w:hAnsi="Times New Roman"/>
          <w:b w:val="0"/>
          <w:i w:val="0"/>
          <w:sz w:val="24"/>
        </w:rPr>
        <w:t xml:space="preserve"> zostały w</w:t>
      </w:r>
      <w:r w:rsidR="008C4450" w:rsidRPr="0058008E">
        <w:rPr>
          <w:rFonts w:ascii="Times New Roman" w:hAnsi="Times New Roman"/>
          <w:b w:val="0"/>
          <w:i w:val="0"/>
          <w:sz w:val="24"/>
        </w:rPr>
        <w:t xml:space="preserve"> kwocie          </w:t>
      </w:r>
      <w:r w:rsidR="002D6280" w:rsidRPr="0058008E">
        <w:rPr>
          <w:rFonts w:ascii="Times New Roman" w:hAnsi="Times New Roman"/>
          <w:b w:val="0"/>
          <w:i w:val="0"/>
          <w:sz w:val="24"/>
        </w:rPr>
        <w:t xml:space="preserve">    </w:t>
      </w:r>
      <w:r w:rsidR="001C69D1" w:rsidRPr="0058008E">
        <w:rPr>
          <w:rFonts w:ascii="Times New Roman" w:hAnsi="Times New Roman"/>
          <w:bCs/>
          <w:i w:val="0"/>
          <w:sz w:val="24"/>
        </w:rPr>
        <w:t>537</w:t>
      </w:r>
      <w:r w:rsidR="002D6280" w:rsidRPr="0058008E">
        <w:rPr>
          <w:rFonts w:ascii="Times New Roman" w:hAnsi="Times New Roman"/>
          <w:bCs/>
          <w:i w:val="0"/>
          <w:sz w:val="24"/>
        </w:rPr>
        <w:t>.</w:t>
      </w:r>
      <w:r w:rsidR="001C69D1" w:rsidRPr="0058008E">
        <w:rPr>
          <w:rFonts w:ascii="Times New Roman" w:hAnsi="Times New Roman"/>
          <w:bCs/>
          <w:i w:val="0"/>
          <w:sz w:val="24"/>
        </w:rPr>
        <w:t>87</w:t>
      </w:r>
      <w:r w:rsidR="00EC24B5">
        <w:rPr>
          <w:rFonts w:ascii="Times New Roman" w:hAnsi="Times New Roman"/>
          <w:bCs/>
          <w:i w:val="0"/>
          <w:sz w:val="24"/>
        </w:rPr>
        <w:t>0</w:t>
      </w:r>
      <w:r w:rsidR="00547A07" w:rsidRPr="0058008E">
        <w:rPr>
          <w:rFonts w:ascii="Times New Roman" w:hAnsi="Times New Roman"/>
          <w:bCs/>
          <w:i w:val="0"/>
          <w:sz w:val="24"/>
        </w:rPr>
        <w:t>.</w:t>
      </w:r>
      <w:r w:rsidR="00EC24B5">
        <w:rPr>
          <w:rFonts w:ascii="Times New Roman" w:hAnsi="Times New Roman"/>
          <w:bCs/>
          <w:i w:val="0"/>
          <w:sz w:val="24"/>
        </w:rPr>
        <w:t>929</w:t>
      </w:r>
      <w:r w:rsidR="006C0285" w:rsidRPr="0058008E">
        <w:rPr>
          <w:rFonts w:ascii="Times New Roman" w:hAnsi="Times New Roman"/>
          <w:bCs/>
          <w:i w:val="0"/>
          <w:sz w:val="24"/>
        </w:rPr>
        <w:t xml:space="preserve"> zł</w:t>
      </w:r>
      <w:r w:rsidR="00594665" w:rsidRPr="0058008E">
        <w:rPr>
          <w:rFonts w:ascii="Times New Roman" w:hAnsi="Times New Roman"/>
          <w:b w:val="0"/>
          <w:i w:val="0"/>
          <w:sz w:val="24"/>
        </w:rPr>
        <w:t xml:space="preserve"> (</w:t>
      </w:r>
      <w:r w:rsidR="001C69D1" w:rsidRPr="0058008E">
        <w:rPr>
          <w:rFonts w:ascii="Times New Roman" w:hAnsi="Times New Roman"/>
          <w:b w:val="0"/>
          <w:i w:val="0"/>
          <w:sz w:val="24"/>
        </w:rPr>
        <w:t>88</w:t>
      </w:r>
      <w:r w:rsidR="00D245D1" w:rsidRPr="0058008E">
        <w:rPr>
          <w:rFonts w:ascii="Times New Roman" w:hAnsi="Times New Roman"/>
          <w:b w:val="0"/>
          <w:i w:val="0"/>
          <w:sz w:val="24"/>
        </w:rPr>
        <w:t>,</w:t>
      </w:r>
      <w:r w:rsidR="001C69D1" w:rsidRPr="0058008E">
        <w:rPr>
          <w:rFonts w:ascii="Times New Roman" w:hAnsi="Times New Roman"/>
          <w:b w:val="0"/>
          <w:i w:val="0"/>
          <w:sz w:val="24"/>
        </w:rPr>
        <w:t>80</w:t>
      </w:r>
      <w:r w:rsidR="007C0EF9" w:rsidRPr="0058008E">
        <w:rPr>
          <w:rFonts w:ascii="Times New Roman" w:hAnsi="Times New Roman"/>
          <w:b w:val="0"/>
          <w:i w:val="0"/>
          <w:sz w:val="24"/>
        </w:rPr>
        <w:t>%</w:t>
      </w:r>
      <w:r w:rsidR="00426178" w:rsidRPr="0058008E">
        <w:rPr>
          <w:rFonts w:ascii="Times New Roman" w:hAnsi="Times New Roman"/>
          <w:b w:val="0"/>
          <w:i w:val="0"/>
          <w:sz w:val="24"/>
        </w:rPr>
        <w:t>)</w:t>
      </w:r>
      <w:r w:rsidR="001D2FCF"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2"/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. </w:t>
      </w:r>
      <w:r w:rsidR="00A97E42" w:rsidRPr="0058008E">
        <w:rPr>
          <w:rFonts w:ascii="Times New Roman" w:hAnsi="Times New Roman"/>
          <w:b w:val="0"/>
          <w:i w:val="0"/>
          <w:sz w:val="24"/>
        </w:rPr>
        <w:t xml:space="preserve">Ich strukturę procentową oraz wykonanie przedstawiono w Tab. III.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Najważniejsze źródła </w:t>
      </w:r>
      <w:r w:rsidR="00A97E42" w:rsidRPr="0058008E">
        <w:rPr>
          <w:rFonts w:ascii="Times New Roman" w:hAnsi="Times New Roman"/>
          <w:b w:val="0"/>
          <w:i w:val="0"/>
          <w:sz w:val="24"/>
        </w:rPr>
        <w:t xml:space="preserve">dochodów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to: </w:t>
      </w:r>
      <w:r w:rsidR="006C0285" w:rsidRPr="0058008E">
        <w:rPr>
          <w:rFonts w:ascii="Times New Roman" w:hAnsi="Times New Roman"/>
          <w:i w:val="0"/>
          <w:sz w:val="24"/>
        </w:rPr>
        <w:t>dochody własne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, </w:t>
      </w:r>
      <w:r w:rsidR="006C0285" w:rsidRPr="0058008E">
        <w:rPr>
          <w:rFonts w:ascii="Times New Roman" w:hAnsi="Times New Roman"/>
          <w:i w:val="0"/>
          <w:sz w:val="24"/>
        </w:rPr>
        <w:t xml:space="preserve">subwencje, dotacje celowe oraz środki </w:t>
      </w:r>
      <w:r w:rsidR="002325A0" w:rsidRPr="0058008E">
        <w:rPr>
          <w:rFonts w:ascii="Times New Roman" w:hAnsi="Times New Roman"/>
          <w:i w:val="0"/>
          <w:sz w:val="24"/>
        </w:rPr>
        <w:t>zewnętrzne w tym</w:t>
      </w:r>
      <w:r w:rsidR="006C0285" w:rsidRPr="0058008E">
        <w:rPr>
          <w:rFonts w:ascii="Times New Roman" w:hAnsi="Times New Roman"/>
          <w:i w:val="0"/>
          <w:sz w:val="24"/>
        </w:rPr>
        <w:t xml:space="preserve"> z budżetu Unii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i w:val="0"/>
          <w:sz w:val="24"/>
        </w:rPr>
        <w:t>Europejskiej.</w:t>
      </w:r>
    </w:p>
    <w:p w14:paraId="6985939D" w14:textId="77777777" w:rsidR="006C0285" w:rsidRPr="0058008E" w:rsidRDefault="00013BD6" w:rsidP="00013BD6">
      <w:pPr>
        <w:pStyle w:val="Tekstpodstawowy2"/>
        <w:ind w:firstLine="708"/>
        <w:jc w:val="center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                          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Tab. </w:t>
      </w:r>
      <w:r w:rsidR="009924CC" w:rsidRPr="0058008E">
        <w:rPr>
          <w:rFonts w:ascii="Times New Roman" w:hAnsi="Times New Roman"/>
          <w:b w:val="0"/>
          <w:i w:val="0"/>
          <w:sz w:val="24"/>
        </w:rPr>
        <w:t>I</w:t>
      </w:r>
      <w:r w:rsidR="006C0285" w:rsidRPr="0058008E">
        <w:rPr>
          <w:rFonts w:ascii="Times New Roman" w:hAnsi="Times New Roman"/>
          <w:b w:val="0"/>
          <w:i w:val="0"/>
          <w:sz w:val="24"/>
        </w:rPr>
        <w:t>II</w:t>
      </w:r>
    </w:p>
    <w:p w14:paraId="5FF8AD8A" w14:textId="627AC92A" w:rsidR="002857B1" w:rsidRPr="0058008E" w:rsidRDefault="00EC24B5" w:rsidP="00A33640">
      <w:pPr>
        <w:pStyle w:val="Tekstpodstawowy2"/>
        <w:jc w:val="both"/>
        <w:rPr>
          <w:rFonts w:ascii="Times New Roman" w:hAnsi="Times New Roman"/>
          <w:i w:val="0"/>
          <w:color w:val="EE0000"/>
          <w:sz w:val="24"/>
        </w:rPr>
      </w:pPr>
      <w:r w:rsidRPr="00EC24B5">
        <w:rPr>
          <w:noProof/>
        </w:rPr>
        <w:drawing>
          <wp:inline distT="0" distB="0" distL="0" distR="0" wp14:anchorId="211B1AD9" wp14:editId="25A0EDA9">
            <wp:extent cx="6210935" cy="6860540"/>
            <wp:effectExtent l="0" t="0" r="0" b="0"/>
            <wp:docPr id="858496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6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4B14" w14:textId="77777777" w:rsidR="00EC24B5" w:rsidRDefault="00EC24B5" w:rsidP="00A33640">
      <w:pPr>
        <w:pStyle w:val="Tekstpodstawowy2"/>
        <w:jc w:val="both"/>
        <w:rPr>
          <w:rFonts w:ascii="Times New Roman" w:hAnsi="Times New Roman"/>
          <w:i w:val="0"/>
          <w:sz w:val="24"/>
        </w:rPr>
      </w:pPr>
    </w:p>
    <w:p w14:paraId="62267666" w14:textId="05D336A0" w:rsidR="00C0304C" w:rsidRPr="0058008E" w:rsidRDefault="00C0304C" w:rsidP="00A33640">
      <w:pPr>
        <w:pStyle w:val="Tekstpodstawowy2"/>
        <w:jc w:val="both"/>
        <w:rPr>
          <w:rFonts w:ascii="Times New Roman" w:hAnsi="Times New Roman"/>
          <w:i w:val="0"/>
          <w:sz w:val="24"/>
        </w:rPr>
      </w:pPr>
      <w:r w:rsidRPr="0058008E">
        <w:rPr>
          <w:rFonts w:ascii="Times New Roman" w:hAnsi="Times New Roman"/>
          <w:i w:val="0"/>
          <w:sz w:val="24"/>
        </w:rPr>
        <w:lastRenderedPageBreak/>
        <w:t>Dochody własne.</w:t>
      </w:r>
    </w:p>
    <w:p w14:paraId="78991D23" w14:textId="26818672" w:rsidR="00F02FCD" w:rsidRPr="0058008E" w:rsidRDefault="00606E84" w:rsidP="00A33640">
      <w:pPr>
        <w:pStyle w:val="Tekstpodstawowy2"/>
        <w:jc w:val="both"/>
        <w:rPr>
          <w:rFonts w:ascii="Times New Roman" w:hAnsi="Times New Roman"/>
          <w:b w:val="0"/>
          <w:i w:val="0"/>
          <w:strike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W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strukturze dochodów miasta </w:t>
      </w:r>
      <w:r w:rsidR="00C0304C" w:rsidRPr="0058008E">
        <w:rPr>
          <w:rFonts w:ascii="Times New Roman" w:hAnsi="Times New Roman"/>
          <w:b w:val="0"/>
          <w:i w:val="0"/>
          <w:sz w:val="24"/>
        </w:rPr>
        <w:t xml:space="preserve">zajmują </w:t>
      </w:r>
      <w:r w:rsidRPr="0058008E">
        <w:rPr>
          <w:rFonts w:ascii="Times New Roman" w:hAnsi="Times New Roman"/>
          <w:b w:val="0"/>
          <w:i w:val="0"/>
          <w:sz w:val="24"/>
        </w:rPr>
        <w:t>najważniejszą pozycję</w:t>
      </w:r>
      <w:r w:rsidR="002466A6" w:rsidRPr="0058008E">
        <w:rPr>
          <w:rFonts w:ascii="Times New Roman" w:hAnsi="Times New Roman"/>
          <w:b w:val="0"/>
          <w:i w:val="0"/>
          <w:sz w:val="24"/>
        </w:rPr>
        <w:t xml:space="preserve"> stanowiąc</w:t>
      </w:r>
      <w:r w:rsidR="00185487" w:rsidRPr="0058008E">
        <w:rPr>
          <w:rFonts w:ascii="Times New Roman" w:hAnsi="Times New Roman"/>
          <w:b w:val="0"/>
          <w:i w:val="0"/>
          <w:sz w:val="24"/>
        </w:rPr>
        <w:t xml:space="preserve"> w 20</w:t>
      </w:r>
      <w:r w:rsidR="00852425" w:rsidRPr="0058008E">
        <w:rPr>
          <w:rFonts w:ascii="Times New Roman" w:hAnsi="Times New Roman"/>
          <w:b w:val="0"/>
          <w:i w:val="0"/>
          <w:sz w:val="24"/>
        </w:rPr>
        <w:t>2</w:t>
      </w:r>
      <w:r w:rsidR="002C390F" w:rsidRPr="0058008E">
        <w:rPr>
          <w:rFonts w:ascii="Times New Roman" w:hAnsi="Times New Roman"/>
          <w:b w:val="0"/>
          <w:i w:val="0"/>
          <w:sz w:val="24"/>
        </w:rPr>
        <w:t>5</w:t>
      </w:r>
      <w:r w:rsidR="002466A6" w:rsidRPr="0058008E">
        <w:rPr>
          <w:rFonts w:ascii="Times New Roman" w:hAnsi="Times New Roman"/>
          <w:b w:val="0"/>
          <w:i w:val="0"/>
          <w:sz w:val="24"/>
        </w:rPr>
        <w:t xml:space="preserve"> roku </w:t>
      </w:r>
      <w:r w:rsidR="0064292C" w:rsidRPr="0058008E">
        <w:rPr>
          <w:rFonts w:ascii="Times New Roman" w:hAnsi="Times New Roman"/>
          <w:b w:val="0"/>
          <w:i w:val="0"/>
          <w:sz w:val="24"/>
        </w:rPr>
        <w:t>89,40</w:t>
      </w:r>
      <w:r w:rsidR="006C0285" w:rsidRPr="0058008E">
        <w:rPr>
          <w:rFonts w:ascii="Times New Roman" w:hAnsi="Times New Roman"/>
          <w:b w:val="0"/>
          <w:i w:val="0"/>
          <w:sz w:val="24"/>
        </w:rPr>
        <w:t>%</w:t>
      </w:r>
      <w:r w:rsidR="001D2FCF"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3"/>
      </w:r>
      <w:r w:rsidR="00426F1A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dochodów ogółem</w:t>
      </w:r>
      <w:r w:rsidR="006C0285" w:rsidRPr="0058008E">
        <w:rPr>
          <w:rFonts w:ascii="Times New Roman" w:hAnsi="Times New Roman"/>
          <w:b w:val="0"/>
          <w:i w:val="0"/>
          <w:color w:val="EE0000"/>
          <w:sz w:val="24"/>
        </w:rPr>
        <w:t>.</w:t>
      </w:r>
      <w:r w:rsidR="006D7483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Poziom ich wykonania wyni</w:t>
      </w:r>
      <w:r w:rsidR="001D2FCF" w:rsidRPr="0058008E">
        <w:rPr>
          <w:rFonts w:ascii="Times New Roman" w:hAnsi="Times New Roman"/>
          <w:b w:val="0"/>
          <w:i w:val="0"/>
          <w:sz w:val="24"/>
        </w:rPr>
        <w:t>ós</w:t>
      </w:r>
      <w:bookmarkStart w:id="4" w:name="_Hlk130999105"/>
      <w:r w:rsidR="001D2FCF" w:rsidRPr="0058008E">
        <w:rPr>
          <w:rFonts w:ascii="Times New Roman" w:hAnsi="Times New Roman"/>
          <w:b w:val="0"/>
          <w:i w:val="0"/>
          <w:sz w:val="24"/>
        </w:rPr>
        <w:t>ł</w:t>
      </w:r>
      <w:bookmarkEnd w:id="4"/>
      <w:r w:rsidR="00845A8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2E1DC5" w:rsidRPr="0058008E">
        <w:rPr>
          <w:rFonts w:ascii="Times New Roman" w:hAnsi="Times New Roman"/>
          <w:b w:val="0"/>
          <w:i w:val="0"/>
          <w:sz w:val="24"/>
        </w:rPr>
        <w:t>9</w:t>
      </w:r>
      <w:r w:rsidR="0064292C" w:rsidRPr="0058008E">
        <w:rPr>
          <w:rFonts w:ascii="Times New Roman" w:hAnsi="Times New Roman"/>
          <w:b w:val="0"/>
          <w:i w:val="0"/>
          <w:sz w:val="24"/>
        </w:rPr>
        <w:t>0</w:t>
      </w:r>
      <w:r w:rsidR="002E1DC5" w:rsidRPr="0058008E">
        <w:rPr>
          <w:rFonts w:ascii="Times New Roman" w:hAnsi="Times New Roman"/>
          <w:b w:val="0"/>
          <w:i w:val="0"/>
          <w:sz w:val="24"/>
        </w:rPr>
        <w:t>,</w:t>
      </w:r>
      <w:r w:rsidR="0064292C" w:rsidRPr="0058008E">
        <w:rPr>
          <w:rFonts w:ascii="Times New Roman" w:hAnsi="Times New Roman"/>
          <w:b w:val="0"/>
          <w:i w:val="0"/>
          <w:sz w:val="24"/>
        </w:rPr>
        <w:t>26</w:t>
      </w:r>
      <w:r w:rsidR="00426F1A" w:rsidRPr="0058008E">
        <w:rPr>
          <w:rFonts w:ascii="Times New Roman" w:hAnsi="Times New Roman"/>
          <w:b w:val="0"/>
          <w:i w:val="0"/>
          <w:sz w:val="24"/>
        </w:rPr>
        <w:t xml:space="preserve">% założonego </w:t>
      </w:r>
      <w:r w:rsidR="00A97E42" w:rsidRPr="0058008E">
        <w:rPr>
          <w:rFonts w:ascii="Times New Roman" w:hAnsi="Times New Roman"/>
          <w:b w:val="0"/>
          <w:i w:val="0"/>
          <w:sz w:val="24"/>
        </w:rPr>
        <w:t>planu.</w:t>
      </w:r>
      <w:r w:rsidR="008511BA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A97E42" w:rsidRPr="0058008E">
        <w:rPr>
          <w:rFonts w:ascii="Times New Roman" w:hAnsi="Times New Roman"/>
          <w:b w:val="0"/>
          <w:i w:val="0"/>
          <w:sz w:val="24"/>
        </w:rPr>
        <w:t xml:space="preserve">W </w:t>
      </w:r>
      <w:r w:rsidR="008511BA" w:rsidRPr="0058008E">
        <w:rPr>
          <w:rFonts w:ascii="Times New Roman" w:hAnsi="Times New Roman"/>
          <w:b w:val="0"/>
          <w:i w:val="0"/>
          <w:sz w:val="24"/>
        </w:rPr>
        <w:t xml:space="preserve">porównaniu </w:t>
      </w:r>
      <w:r w:rsidR="001240FF" w:rsidRPr="0058008E">
        <w:rPr>
          <w:rFonts w:ascii="Times New Roman" w:hAnsi="Times New Roman"/>
          <w:b w:val="0"/>
          <w:i w:val="0"/>
          <w:sz w:val="24"/>
        </w:rPr>
        <w:t>z</w:t>
      </w:r>
      <w:r w:rsidR="006D7483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1240FF" w:rsidRPr="0058008E">
        <w:rPr>
          <w:rFonts w:ascii="Times New Roman" w:hAnsi="Times New Roman"/>
          <w:b w:val="0"/>
          <w:i w:val="0"/>
          <w:sz w:val="24"/>
        </w:rPr>
        <w:t>u</w:t>
      </w:r>
      <w:r w:rsidR="00185487" w:rsidRPr="0058008E">
        <w:rPr>
          <w:rFonts w:ascii="Times New Roman" w:hAnsi="Times New Roman"/>
          <w:b w:val="0"/>
          <w:i w:val="0"/>
          <w:sz w:val="24"/>
        </w:rPr>
        <w:t>zyskanymi dochodami w 20</w:t>
      </w:r>
      <w:r w:rsidR="00374D04" w:rsidRPr="0058008E">
        <w:rPr>
          <w:rFonts w:ascii="Times New Roman" w:hAnsi="Times New Roman"/>
          <w:b w:val="0"/>
          <w:i w:val="0"/>
          <w:sz w:val="24"/>
        </w:rPr>
        <w:t>2</w:t>
      </w:r>
      <w:r w:rsidR="0064292C" w:rsidRPr="0058008E">
        <w:rPr>
          <w:rFonts w:ascii="Times New Roman" w:hAnsi="Times New Roman"/>
          <w:b w:val="0"/>
          <w:i w:val="0"/>
          <w:sz w:val="24"/>
        </w:rPr>
        <w:t>4</w:t>
      </w:r>
      <w:r w:rsidR="002325A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8511BA" w:rsidRPr="0058008E">
        <w:rPr>
          <w:rFonts w:ascii="Times New Roman" w:hAnsi="Times New Roman"/>
          <w:b w:val="0"/>
          <w:i w:val="0"/>
          <w:sz w:val="24"/>
        </w:rPr>
        <w:t>r. był</w:t>
      </w:r>
      <w:r w:rsidR="00A97E42" w:rsidRPr="0058008E">
        <w:rPr>
          <w:rFonts w:ascii="Times New Roman" w:hAnsi="Times New Roman"/>
          <w:b w:val="0"/>
          <w:i w:val="0"/>
          <w:sz w:val="24"/>
        </w:rPr>
        <w:t>y</w:t>
      </w:r>
      <w:r w:rsidR="008511BA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26FCA" w:rsidRPr="0058008E">
        <w:rPr>
          <w:rFonts w:ascii="Times New Roman" w:hAnsi="Times New Roman"/>
          <w:b w:val="0"/>
          <w:i w:val="0"/>
          <w:sz w:val="24"/>
        </w:rPr>
        <w:t>wyższe</w:t>
      </w:r>
      <w:r w:rsidR="00A732B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270B0A" w:rsidRPr="0058008E">
        <w:rPr>
          <w:rFonts w:ascii="Times New Roman" w:hAnsi="Times New Roman"/>
          <w:b w:val="0"/>
          <w:i w:val="0"/>
          <w:sz w:val="24"/>
        </w:rPr>
        <w:t xml:space="preserve">o </w:t>
      </w:r>
      <w:r w:rsidR="0064292C" w:rsidRPr="0058008E">
        <w:rPr>
          <w:rFonts w:ascii="Times New Roman" w:hAnsi="Times New Roman"/>
          <w:b w:val="0"/>
          <w:i w:val="0"/>
          <w:sz w:val="24"/>
        </w:rPr>
        <w:t>106</w:t>
      </w:r>
      <w:r w:rsidR="00270B0A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FD6657" w:rsidRPr="0058008E">
        <w:rPr>
          <w:rFonts w:ascii="Times New Roman" w:hAnsi="Times New Roman"/>
          <w:b w:val="0"/>
          <w:i w:val="0"/>
          <w:sz w:val="24"/>
        </w:rPr>
        <w:t xml:space="preserve">. </w:t>
      </w:r>
      <w:r w:rsidR="00FD0418" w:rsidRPr="0058008E">
        <w:rPr>
          <w:rFonts w:ascii="Times New Roman" w:hAnsi="Times New Roman"/>
          <w:b w:val="0"/>
          <w:i w:val="0"/>
          <w:sz w:val="24"/>
        </w:rPr>
        <w:t>G</w:t>
      </w:r>
      <w:r w:rsidR="00185487" w:rsidRPr="0058008E">
        <w:rPr>
          <w:rFonts w:ascii="Times New Roman" w:hAnsi="Times New Roman"/>
          <w:b w:val="0"/>
          <w:i w:val="0"/>
          <w:sz w:val="24"/>
        </w:rPr>
        <w:t>ł</w:t>
      </w:r>
      <w:r w:rsidR="00FD0418" w:rsidRPr="0058008E">
        <w:rPr>
          <w:rFonts w:ascii="Times New Roman" w:hAnsi="Times New Roman"/>
          <w:b w:val="0"/>
          <w:i w:val="0"/>
          <w:sz w:val="24"/>
        </w:rPr>
        <w:t>ó</w:t>
      </w:r>
      <w:r w:rsidR="00185487" w:rsidRPr="0058008E">
        <w:rPr>
          <w:rFonts w:ascii="Times New Roman" w:hAnsi="Times New Roman"/>
          <w:b w:val="0"/>
          <w:i w:val="0"/>
          <w:sz w:val="24"/>
        </w:rPr>
        <w:t>wne</w:t>
      </w:r>
      <w:r w:rsidR="00FD0418" w:rsidRPr="0058008E">
        <w:rPr>
          <w:rFonts w:ascii="Times New Roman" w:hAnsi="Times New Roman"/>
          <w:b w:val="0"/>
          <w:i w:val="0"/>
          <w:sz w:val="24"/>
        </w:rPr>
        <w:t xml:space="preserve"> z</w:t>
      </w:r>
      <w:r w:rsidR="00374D04" w:rsidRPr="0058008E">
        <w:rPr>
          <w:rFonts w:ascii="Times New Roman" w:hAnsi="Times New Roman"/>
          <w:b w:val="0"/>
          <w:i w:val="0"/>
          <w:sz w:val="24"/>
        </w:rPr>
        <w:t>większenie</w:t>
      </w:r>
      <w:r w:rsidR="00FD0418" w:rsidRPr="0058008E">
        <w:rPr>
          <w:rFonts w:ascii="Times New Roman" w:hAnsi="Times New Roman"/>
          <w:b w:val="0"/>
          <w:i w:val="0"/>
          <w:sz w:val="24"/>
        </w:rPr>
        <w:t xml:space="preserve"> dochodów wystąpiło </w:t>
      </w:r>
      <w:r w:rsidR="00185487" w:rsidRPr="0058008E">
        <w:rPr>
          <w:rFonts w:ascii="Times New Roman" w:hAnsi="Times New Roman"/>
          <w:b w:val="0"/>
          <w:i w:val="0"/>
          <w:sz w:val="24"/>
        </w:rPr>
        <w:t xml:space="preserve">w zakresie </w:t>
      </w:r>
      <w:r w:rsidR="00A33640" w:rsidRPr="0058008E">
        <w:rPr>
          <w:rFonts w:ascii="Times New Roman" w:hAnsi="Times New Roman"/>
          <w:b w:val="0"/>
          <w:iCs/>
          <w:sz w:val="24"/>
        </w:rPr>
        <w:t>dochodów bieżących</w:t>
      </w:r>
      <w:r w:rsidR="00A33640" w:rsidRPr="0058008E">
        <w:rPr>
          <w:rFonts w:ascii="Times New Roman" w:hAnsi="Times New Roman"/>
          <w:b w:val="0"/>
          <w:i w:val="0"/>
          <w:sz w:val="24"/>
        </w:rPr>
        <w:t>,</w:t>
      </w:r>
      <w:r w:rsidR="007F11E3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A33640" w:rsidRPr="0058008E">
        <w:rPr>
          <w:rFonts w:ascii="Times New Roman" w:hAnsi="Times New Roman"/>
          <w:b w:val="0"/>
          <w:i w:val="0"/>
          <w:sz w:val="24"/>
        </w:rPr>
        <w:t xml:space="preserve">w szczególności: z </w:t>
      </w:r>
      <w:r w:rsidR="00467F56" w:rsidRPr="0058008E">
        <w:rPr>
          <w:rFonts w:ascii="Times New Roman" w:hAnsi="Times New Roman"/>
          <w:b w:val="0"/>
          <w:i w:val="0"/>
          <w:sz w:val="24"/>
        </w:rPr>
        <w:t xml:space="preserve">tytułu </w:t>
      </w:r>
      <w:r w:rsidR="00DC6C7E" w:rsidRPr="0058008E">
        <w:rPr>
          <w:rFonts w:ascii="Times New Roman" w:hAnsi="Times New Roman"/>
          <w:b w:val="0"/>
          <w:i w:val="0"/>
          <w:sz w:val="24"/>
        </w:rPr>
        <w:t xml:space="preserve">dochodów z </w:t>
      </w:r>
      <w:r w:rsidR="00270B0A" w:rsidRPr="0058008E">
        <w:rPr>
          <w:rFonts w:ascii="Times New Roman" w:hAnsi="Times New Roman"/>
          <w:b w:val="0"/>
          <w:i w:val="0"/>
          <w:sz w:val="24"/>
        </w:rPr>
        <w:t>udziału w podatku dochodowym CIT</w:t>
      </w:r>
      <w:r w:rsidR="001B017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DC6C7E" w:rsidRPr="0058008E">
        <w:rPr>
          <w:rFonts w:ascii="Times New Roman" w:hAnsi="Times New Roman"/>
          <w:b w:val="0"/>
          <w:i w:val="0"/>
          <w:sz w:val="24"/>
        </w:rPr>
        <w:t>( o 18,</w:t>
      </w:r>
      <w:r w:rsidR="003F62F6" w:rsidRPr="0058008E">
        <w:rPr>
          <w:rFonts w:ascii="Times New Roman" w:hAnsi="Times New Roman"/>
          <w:b w:val="0"/>
          <w:i w:val="0"/>
          <w:sz w:val="24"/>
        </w:rPr>
        <w:t>4</w:t>
      </w:r>
      <w:r w:rsidR="00DC6C7E" w:rsidRPr="0058008E">
        <w:rPr>
          <w:rFonts w:ascii="Times New Roman" w:hAnsi="Times New Roman"/>
          <w:b w:val="0"/>
          <w:i w:val="0"/>
          <w:sz w:val="24"/>
        </w:rPr>
        <w:t xml:space="preserve"> mln zł) </w:t>
      </w:r>
      <w:r w:rsidR="001B0170" w:rsidRPr="0058008E">
        <w:rPr>
          <w:rFonts w:ascii="Times New Roman" w:hAnsi="Times New Roman"/>
          <w:b w:val="0"/>
          <w:i w:val="0"/>
          <w:sz w:val="24"/>
        </w:rPr>
        <w:t>oraz</w:t>
      </w:r>
      <w:r w:rsidR="00103A3A" w:rsidRPr="0058008E">
        <w:rPr>
          <w:rFonts w:ascii="Times New Roman" w:hAnsi="Times New Roman"/>
          <w:b w:val="0"/>
          <w:i w:val="0"/>
          <w:sz w:val="24"/>
        </w:rPr>
        <w:t xml:space="preserve"> z tytułu </w:t>
      </w:r>
      <w:r w:rsidR="00DC6C7E" w:rsidRPr="0058008E">
        <w:rPr>
          <w:rFonts w:ascii="Times New Roman" w:hAnsi="Times New Roman"/>
          <w:b w:val="0"/>
          <w:i w:val="0"/>
          <w:sz w:val="24"/>
        </w:rPr>
        <w:t xml:space="preserve">dochodów z </w:t>
      </w:r>
      <w:r w:rsidR="00103A3A" w:rsidRPr="0058008E">
        <w:rPr>
          <w:rFonts w:ascii="Times New Roman" w:hAnsi="Times New Roman"/>
          <w:b w:val="0"/>
          <w:i w:val="0"/>
          <w:sz w:val="24"/>
        </w:rPr>
        <w:t>udziału w podatku dochodowym PIT</w:t>
      </w:r>
      <w:r w:rsidR="00DC6C7E" w:rsidRPr="0058008E">
        <w:rPr>
          <w:rFonts w:ascii="Times New Roman" w:hAnsi="Times New Roman"/>
          <w:b w:val="0"/>
          <w:i w:val="0"/>
          <w:sz w:val="24"/>
        </w:rPr>
        <w:t xml:space="preserve"> ( o 63,7 mln zł)</w:t>
      </w:r>
      <w:r w:rsidR="001B0170" w:rsidRPr="0058008E">
        <w:rPr>
          <w:rFonts w:ascii="Times New Roman" w:hAnsi="Times New Roman"/>
          <w:b w:val="0"/>
          <w:i w:val="0"/>
          <w:sz w:val="24"/>
        </w:rPr>
        <w:t>.</w:t>
      </w:r>
      <w:r w:rsidR="0064292C" w:rsidRPr="0058008E">
        <w:rPr>
          <w:rFonts w:ascii="Times New Roman" w:hAnsi="Times New Roman"/>
          <w:b w:val="0"/>
          <w:i w:val="0"/>
          <w:sz w:val="24"/>
        </w:rPr>
        <w:t xml:space="preserve"> Wzrost </w:t>
      </w:r>
      <w:r w:rsidR="00DC6C7E" w:rsidRPr="0058008E">
        <w:rPr>
          <w:rFonts w:ascii="Times New Roman" w:hAnsi="Times New Roman"/>
          <w:b w:val="0"/>
          <w:i w:val="0"/>
          <w:sz w:val="24"/>
        </w:rPr>
        <w:t>ten to efekt zmian ustawowych i ujęcia w tych dochodach dawnej subwencji oświatowej.</w:t>
      </w:r>
      <w:r w:rsidR="0064292C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24FFD21C" w14:textId="47FDC83E" w:rsidR="00A33640" w:rsidRPr="0058008E" w:rsidRDefault="00A33640" w:rsidP="00A33640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W zakresie </w:t>
      </w:r>
      <w:r w:rsidRPr="0058008E">
        <w:rPr>
          <w:rFonts w:ascii="Times New Roman" w:hAnsi="Times New Roman"/>
          <w:b w:val="0"/>
          <w:iCs/>
          <w:sz w:val="24"/>
        </w:rPr>
        <w:t>dochodów majątkowych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0C6A9D" w:rsidRPr="0058008E">
        <w:rPr>
          <w:rFonts w:ascii="Times New Roman" w:hAnsi="Times New Roman"/>
          <w:b w:val="0"/>
          <w:i w:val="0"/>
          <w:sz w:val="24"/>
        </w:rPr>
        <w:t xml:space="preserve">ich realizacja wyniosła </w:t>
      </w:r>
      <w:r w:rsidR="008C2598" w:rsidRPr="0058008E">
        <w:rPr>
          <w:rFonts w:ascii="Times New Roman" w:hAnsi="Times New Roman"/>
          <w:b w:val="0"/>
          <w:i w:val="0"/>
          <w:sz w:val="24"/>
        </w:rPr>
        <w:t>42,3</w:t>
      </w:r>
      <w:r w:rsidR="000C6A9D" w:rsidRPr="0058008E">
        <w:rPr>
          <w:rFonts w:ascii="Times New Roman" w:hAnsi="Times New Roman"/>
          <w:b w:val="0"/>
          <w:i w:val="0"/>
          <w:sz w:val="24"/>
        </w:rPr>
        <w:t xml:space="preserve"> mln zł,</w:t>
      </w:r>
      <w:r w:rsidR="009722B5">
        <w:rPr>
          <w:rFonts w:ascii="Times New Roman" w:hAnsi="Times New Roman"/>
          <w:b w:val="0"/>
          <w:i w:val="0"/>
          <w:sz w:val="24"/>
        </w:rPr>
        <w:t xml:space="preserve"> tj. 40,67%,</w:t>
      </w:r>
      <w:r w:rsidR="000C6A9D" w:rsidRPr="0058008E">
        <w:rPr>
          <w:rFonts w:ascii="Times New Roman" w:hAnsi="Times New Roman"/>
          <w:b w:val="0"/>
          <w:i w:val="0"/>
          <w:sz w:val="24"/>
        </w:rPr>
        <w:t xml:space="preserve"> a ich </w:t>
      </w:r>
      <w:r w:rsidR="002857B1" w:rsidRPr="0058008E">
        <w:rPr>
          <w:rFonts w:ascii="Times New Roman" w:hAnsi="Times New Roman"/>
          <w:b w:val="0"/>
          <w:i w:val="0"/>
          <w:sz w:val="24"/>
        </w:rPr>
        <w:t xml:space="preserve">niewykonanie </w:t>
      </w:r>
      <w:r w:rsidR="00B915F2" w:rsidRPr="0058008E">
        <w:rPr>
          <w:rFonts w:ascii="Times New Roman" w:hAnsi="Times New Roman"/>
          <w:b w:val="0"/>
          <w:i w:val="0"/>
          <w:sz w:val="24"/>
        </w:rPr>
        <w:t xml:space="preserve">to </w:t>
      </w:r>
      <w:r w:rsidR="00F3236B" w:rsidRPr="0058008E">
        <w:rPr>
          <w:rFonts w:ascii="Times New Roman" w:hAnsi="Times New Roman"/>
          <w:b w:val="0"/>
          <w:i w:val="0"/>
          <w:sz w:val="24"/>
        </w:rPr>
        <w:t xml:space="preserve">aż </w:t>
      </w:r>
      <w:r w:rsidR="008C2598" w:rsidRPr="0058008E">
        <w:rPr>
          <w:rFonts w:ascii="Times New Roman" w:hAnsi="Times New Roman"/>
          <w:b w:val="0"/>
          <w:i w:val="0"/>
          <w:sz w:val="24"/>
        </w:rPr>
        <w:t>61,8</w:t>
      </w:r>
      <w:r w:rsidR="002857B1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B915F2" w:rsidRPr="0058008E">
        <w:rPr>
          <w:rFonts w:ascii="Times New Roman" w:hAnsi="Times New Roman"/>
          <w:b w:val="0"/>
          <w:i w:val="0"/>
          <w:sz w:val="24"/>
        </w:rPr>
        <w:t xml:space="preserve">. Wynikało </w:t>
      </w:r>
      <w:r w:rsidR="00F3236B" w:rsidRPr="0058008E">
        <w:rPr>
          <w:rFonts w:ascii="Times New Roman" w:hAnsi="Times New Roman"/>
          <w:b w:val="0"/>
          <w:i w:val="0"/>
          <w:sz w:val="24"/>
        </w:rPr>
        <w:t xml:space="preserve">to </w:t>
      </w:r>
      <w:r w:rsidR="00B915F2" w:rsidRPr="0058008E">
        <w:rPr>
          <w:rFonts w:ascii="Times New Roman" w:hAnsi="Times New Roman"/>
          <w:b w:val="0"/>
          <w:i w:val="0"/>
          <w:sz w:val="24"/>
        </w:rPr>
        <w:t>z</w:t>
      </w:r>
      <w:r w:rsidR="002E0A1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B915F2" w:rsidRPr="0058008E">
        <w:rPr>
          <w:rFonts w:ascii="Times New Roman" w:hAnsi="Times New Roman"/>
          <w:b w:val="0"/>
          <w:i w:val="0"/>
          <w:sz w:val="24"/>
        </w:rPr>
        <w:t xml:space="preserve">przesunięcia </w:t>
      </w:r>
      <w:r w:rsidR="002E0A15" w:rsidRPr="0058008E">
        <w:rPr>
          <w:rFonts w:ascii="Times New Roman" w:hAnsi="Times New Roman"/>
          <w:b w:val="0"/>
          <w:i w:val="0"/>
          <w:sz w:val="24"/>
        </w:rPr>
        <w:t>termin</w:t>
      </w:r>
      <w:r w:rsidR="00B915F2" w:rsidRPr="0058008E">
        <w:rPr>
          <w:rFonts w:ascii="Times New Roman" w:hAnsi="Times New Roman"/>
          <w:b w:val="0"/>
          <w:i w:val="0"/>
          <w:sz w:val="24"/>
        </w:rPr>
        <w:t>u</w:t>
      </w:r>
      <w:r w:rsidR="002E0A15" w:rsidRPr="0058008E">
        <w:rPr>
          <w:rFonts w:ascii="Times New Roman" w:hAnsi="Times New Roman"/>
          <w:b w:val="0"/>
          <w:i w:val="0"/>
          <w:sz w:val="24"/>
        </w:rPr>
        <w:t xml:space="preserve"> refundacji wydatkó</w:t>
      </w:r>
      <w:r w:rsidR="00B54390" w:rsidRPr="0058008E">
        <w:rPr>
          <w:rFonts w:ascii="Times New Roman" w:hAnsi="Times New Roman"/>
          <w:b w:val="0"/>
          <w:i w:val="0"/>
          <w:sz w:val="24"/>
        </w:rPr>
        <w:t>w poniesionych na zadnia współfinansowane z budżetu UE</w:t>
      </w:r>
      <w:r w:rsidR="00B915F2" w:rsidRPr="0058008E">
        <w:rPr>
          <w:rFonts w:ascii="Times New Roman" w:hAnsi="Times New Roman"/>
          <w:b w:val="0"/>
          <w:i w:val="0"/>
          <w:sz w:val="24"/>
        </w:rPr>
        <w:t xml:space="preserve"> przez instytucje dofinansowujące te zadania</w:t>
      </w:r>
      <w:r w:rsidR="00B54390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052C4289" w14:textId="77777777" w:rsidR="00A33640" w:rsidRPr="0058008E" w:rsidRDefault="00A33640" w:rsidP="00A33640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0E012464" w14:textId="7A8E999E" w:rsidR="003F6EC0" w:rsidRPr="0058008E" w:rsidRDefault="005374A5" w:rsidP="00A33640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                                                                                          </w:t>
      </w:r>
      <w:r w:rsidR="00A33640"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="00A33640"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="00A33640"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="00335ECE">
        <w:rPr>
          <w:rFonts w:ascii="Times New Roman" w:hAnsi="Times New Roman"/>
          <w:b w:val="0"/>
          <w:i w:val="0"/>
          <w:color w:val="EE0000"/>
          <w:sz w:val="24"/>
        </w:rPr>
        <w:tab/>
      </w:r>
      <w:r w:rsidR="00335EC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sz w:val="24"/>
        </w:rPr>
        <w:t>Rys.1</w:t>
      </w:r>
    </w:p>
    <w:p w14:paraId="5CDDC0A8" w14:textId="044580B0" w:rsidR="003F6EC0" w:rsidRPr="0058008E" w:rsidRDefault="00A41B4A" w:rsidP="00394F18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noProof/>
          <w:color w:val="EE0000"/>
          <w:sz w:val="24"/>
        </w:rPr>
        <w:drawing>
          <wp:inline distT="0" distB="0" distL="0" distR="0" wp14:anchorId="216369AE" wp14:editId="1FC089CA">
            <wp:extent cx="5943600" cy="1495425"/>
            <wp:effectExtent l="0" t="0" r="0" b="9525"/>
            <wp:docPr id="1" name="Obi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34CCF1" w14:textId="77777777" w:rsidR="00394F18" w:rsidRPr="0058008E" w:rsidRDefault="00394F18" w:rsidP="00500B14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67BFD61B" w14:textId="454AA276" w:rsidR="008511BA" w:rsidRPr="0058008E" w:rsidRDefault="00381C39" w:rsidP="00381C39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Dochody własne stanowią </w:t>
      </w:r>
      <w:r w:rsidR="008511BA" w:rsidRPr="0058008E">
        <w:rPr>
          <w:rFonts w:ascii="Times New Roman" w:hAnsi="Times New Roman"/>
          <w:b w:val="0"/>
          <w:i w:val="0"/>
          <w:sz w:val="24"/>
        </w:rPr>
        <w:t>podstawow</w:t>
      </w:r>
      <w:r w:rsidR="00A97E42" w:rsidRPr="0058008E">
        <w:rPr>
          <w:rFonts w:ascii="Times New Roman" w:hAnsi="Times New Roman"/>
          <w:b w:val="0"/>
          <w:i w:val="0"/>
          <w:sz w:val="24"/>
        </w:rPr>
        <w:t xml:space="preserve">e </w:t>
      </w:r>
      <w:r w:rsidR="006C0285" w:rsidRPr="0058008E">
        <w:rPr>
          <w:rFonts w:ascii="Times New Roman" w:hAnsi="Times New Roman"/>
          <w:b w:val="0"/>
          <w:i w:val="0"/>
          <w:sz w:val="24"/>
        </w:rPr>
        <w:t>źródł</w:t>
      </w:r>
      <w:r w:rsidR="00A97E42" w:rsidRPr="0058008E">
        <w:rPr>
          <w:rFonts w:ascii="Times New Roman" w:hAnsi="Times New Roman"/>
          <w:b w:val="0"/>
          <w:i w:val="0"/>
          <w:sz w:val="24"/>
        </w:rPr>
        <w:t xml:space="preserve">o </w:t>
      </w:r>
      <w:r w:rsidR="006C0285" w:rsidRPr="0058008E">
        <w:rPr>
          <w:rFonts w:ascii="Times New Roman" w:hAnsi="Times New Roman"/>
          <w:b w:val="0"/>
          <w:i w:val="0"/>
          <w:sz w:val="24"/>
        </w:rPr>
        <w:t>finansowania wydatków miasta.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Najważniejszą kategorią w tej grupie dochodów są tzw. pozostałe dochody</w:t>
      </w:r>
      <w:r w:rsidR="008511BA" w:rsidRPr="0058008E">
        <w:rPr>
          <w:rFonts w:ascii="Times New Roman" w:hAnsi="Times New Roman"/>
          <w:b w:val="0"/>
          <w:i w:val="0"/>
          <w:sz w:val="24"/>
        </w:rPr>
        <w:t xml:space="preserve"> własne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713E7C" w:rsidRPr="0058008E">
        <w:rPr>
          <w:rFonts w:ascii="Times New Roman" w:hAnsi="Times New Roman"/>
          <w:b w:val="0"/>
          <w:i w:val="0"/>
          <w:sz w:val="24"/>
        </w:rPr>
        <w:t>(</w:t>
      </w:r>
      <w:r w:rsidR="008C2598" w:rsidRPr="0058008E">
        <w:rPr>
          <w:rFonts w:ascii="Times New Roman" w:hAnsi="Times New Roman"/>
          <w:b w:val="0"/>
          <w:i w:val="0"/>
          <w:sz w:val="24"/>
        </w:rPr>
        <w:t>236,1</w:t>
      </w:r>
      <w:r w:rsidR="002C6690" w:rsidRPr="0058008E">
        <w:rPr>
          <w:rFonts w:ascii="Times New Roman" w:hAnsi="Times New Roman"/>
          <w:b w:val="0"/>
          <w:i w:val="0"/>
          <w:sz w:val="24"/>
        </w:rPr>
        <w:t xml:space="preserve"> mln zł) </w:t>
      </w:r>
      <w:r w:rsidR="006C0285" w:rsidRPr="0058008E">
        <w:rPr>
          <w:rFonts w:ascii="Times New Roman" w:hAnsi="Times New Roman"/>
          <w:b w:val="0"/>
          <w:i w:val="0"/>
          <w:sz w:val="24"/>
        </w:rPr>
        <w:t>stanowiąc</w:t>
      </w:r>
      <w:r w:rsidR="001D2FCF" w:rsidRPr="0058008E">
        <w:rPr>
          <w:rFonts w:ascii="Times New Roman" w:hAnsi="Times New Roman"/>
          <w:b w:val="0"/>
          <w:i w:val="0"/>
          <w:sz w:val="24"/>
        </w:rPr>
        <w:t>e</w:t>
      </w:r>
      <w:r w:rsidR="0066449B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1D3351" w:rsidRPr="0058008E">
        <w:rPr>
          <w:rFonts w:ascii="Times New Roman" w:hAnsi="Times New Roman"/>
          <w:b w:val="0"/>
          <w:i w:val="0"/>
          <w:sz w:val="24"/>
        </w:rPr>
        <w:t>ponad</w:t>
      </w:r>
      <w:r w:rsidR="00E1029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B083D" w:rsidRPr="0058008E">
        <w:rPr>
          <w:rFonts w:ascii="Times New Roman" w:hAnsi="Times New Roman"/>
          <w:b w:val="0"/>
          <w:i w:val="0"/>
          <w:sz w:val="24"/>
          <w:vertAlign w:val="superscript"/>
        </w:rPr>
        <w:t>1</w:t>
      </w:r>
      <w:r w:rsidR="0066449B" w:rsidRPr="0058008E">
        <w:rPr>
          <w:rFonts w:ascii="Times New Roman" w:hAnsi="Times New Roman"/>
          <w:b w:val="0"/>
          <w:i w:val="0"/>
          <w:sz w:val="24"/>
        </w:rPr>
        <w:t>/</w:t>
      </w:r>
      <w:r w:rsidR="00B915F2" w:rsidRPr="0058008E">
        <w:rPr>
          <w:rFonts w:ascii="Times New Roman" w:hAnsi="Times New Roman"/>
          <w:b w:val="0"/>
          <w:i w:val="0"/>
          <w:sz w:val="24"/>
          <w:vertAlign w:val="subscript"/>
        </w:rPr>
        <w:t>2</w:t>
      </w:r>
      <w:r w:rsidR="00B915F2" w:rsidRPr="0058008E">
        <w:rPr>
          <w:rFonts w:ascii="Times New Roman" w:hAnsi="Times New Roman"/>
          <w:b w:val="0"/>
          <w:i w:val="0"/>
          <w:sz w:val="24"/>
        </w:rPr>
        <w:t xml:space="preserve"> ich</w:t>
      </w:r>
      <w:r w:rsidR="005545D9" w:rsidRPr="0058008E">
        <w:rPr>
          <w:rFonts w:ascii="Times New Roman" w:hAnsi="Times New Roman"/>
          <w:b w:val="0"/>
          <w:i w:val="0"/>
          <w:sz w:val="24"/>
        </w:rPr>
        <w:t xml:space="preserve"> str</w:t>
      </w:r>
      <w:r w:rsidR="00601E06" w:rsidRPr="0058008E">
        <w:rPr>
          <w:rFonts w:ascii="Times New Roman" w:hAnsi="Times New Roman"/>
          <w:b w:val="0"/>
          <w:i w:val="0"/>
          <w:sz w:val="24"/>
        </w:rPr>
        <w:t xml:space="preserve">uktury </w:t>
      </w:r>
      <w:r w:rsidR="00F86E59" w:rsidRPr="0058008E">
        <w:rPr>
          <w:rFonts w:ascii="Times New Roman" w:hAnsi="Times New Roman"/>
          <w:b w:val="0"/>
          <w:i w:val="0"/>
          <w:sz w:val="24"/>
        </w:rPr>
        <w:t>i 4</w:t>
      </w:r>
      <w:r w:rsidR="008C2598" w:rsidRPr="0058008E">
        <w:rPr>
          <w:rFonts w:ascii="Times New Roman" w:hAnsi="Times New Roman"/>
          <w:b w:val="0"/>
          <w:i w:val="0"/>
          <w:sz w:val="24"/>
        </w:rPr>
        <w:t>3</w:t>
      </w:r>
      <w:r w:rsidR="00FE5A0D" w:rsidRPr="0058008E">
        <w:rPr>
          <w:rFonts w:ascii="Times New Roman" w:hAnsi="Times New Roman"/>
          <w:b w:val="0"/>
          <w:i w:val="0"/>
          <w:sz w:val="24"/>
        </w:rPr>
        <w:t>,</w:t>
      </w:r>
      <w:r w:rsidR="008C2598" w:rsidRPr="0058008E">
        <w:rPr>
          <w:rFonts w:ascii="Times New Roman" w:hAnsi="Times New Roman"/>
          <w:b w:val="0"/>
          <w:i w:val="0"/>
          <w:sz w:val="24"/>
        </w:rPr>
        <w:t>90</w:t>
      </w:r>
      <w:r w:rsidR="00D11CE0" w:rsidRPr="0058008E">
        <w:rPr>
          <w:rFonts w:ascii="Times New Roman" w:hAnsi="Times New Roman"/>
          <w:b w:val="0"/>
          <w:i w:val="0"/>
          <w:sz w:val="24"/>
        </w:rPr>
        <w:t>% wszystkich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docho</w:t>
      </w:r>
      <w:r w:rsidR="0066449B" w:rsidRPr="0058008E">
        <w:rPr>
          <w:rFonts w:ascii="Times New Roman" w:hAnsi="Times New Roman"/>
          <w:b w:val="0"/>
          <w:i w:val="0"/>
          <w:sz w:val="24"/>
        </w:rPr>
        <w:t xml:space="preserve">dów osiągniętych przez miasto. </w:t>
      </w:r>
    </w:p>
    <w:p w14:paraId="4585B688" w14:textId="77777777" w:rsidR="000B5474" w:rsidRPr="0058008E" w:rsidRDefault="000B5474" w:rsidP="00BE17BD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</w:p>
    <w:p w14:paraId="35B84863" w14:textId="77777777" w:rsidR="0037745D" w:rsidRPr="0058008E" w:rsidRDefault="0066449B" w:rsidP="00BE17BD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Były to przede wszystkim </w:t>
      </w:r>
      <w:r w:rsidR="006C0285" w:rsidRPr="0058008E">
        <w:rPr>
          <w:rFonts w:ascii="Times New Roman" w:hAnsi="Times New Roman"/>
          <w:b w:val="0"/>
          <w:i w:val="0"/>
          <w:sz w:val="24"/>
        </w:rPr>
        <w:t>dochody</w:t>
      </w:r>
      <w:r w:rsidR="008511BA" w:rsidRPr="0058008E">
        <w:rPr>
          <w:rFonts w:ascii="Times New Roman" w:hAnsi="Times New Roman"/>
          <w:b w:val="0"/>
          <w:i w:val="0"/>
          <w:sz w:val="24"/>
        </w:rPr>
        <w:t xml:space="preserve"> z </w:t>
      </w:r>
      <w:r w:rsidR="002325A0" w:rsidRPr="0058008E">
        <w:rPr>
          <w:rFonts w:ascii="Times New Roman" w:hAnsi="Times New Roman"/>
          <w:b w:val="0"/>
          <w:i w:val="0"/>
          <w:sz w:val="24"/>
        </w:rPr>
        <w:t>tytułu</w:t>
      </w:r>
      <w:r w:rsidR="0037745D" w:rsidRPr="0058008E">
        <w:rPr>
          <w:rFonts w:ascii="Times New Roman" w:hAnsi="Times New Roman"/>
          <w:b w:val="0"/>
          <w:i w:val="0"/>
          <w:sz w:val="24"/>
        </w:rPr>
        <w:t>:</w:t>
      </w:r>
    </w:p>
    <w:p w14:paraId="029410F2" w14:textId="0D93C697" w:rsidR="00B348E7" w:rsidRPr="0058008E" w:rsidRDefault="006C0285" w:rsidP="000A1F49">
      <w:pPr>
        <w:pStyle w:val="Tekstpodstawowy2"/>
        <w:numPr>
          <w:ilvl w:val="0"/>
          <w:numId w:val="11"/>
        </w:numPr>
        <w:ind w:left="283" w:hanging="283"/>
        <w:rPr>
          <w:rFonts w:ascii="Times New Roman" w:hAnsi="Times New Roman"/>
          <w:b w:val="0"/>
          <w:i w:val="0"/>
          <w:sz w:val="24"/>
        </w:rPr>
      </w:pPr>
      <w:bookmarkStart w:id="5" w:name="_Ref504977358"/>
      <w:r w:rsidRPr="0058008E">
        <w:rPr>
          <w:rFonts w:ascii="Times New Roman" w:hAnsi="Times New Roman"/>
          <w:b w:val="0"/>
          <w:i w:val="0"/>
          <w:sz w:val="24"/>
        </w:rPr>
        <w:t xml:space="preserve">gospodarowania składnikami majątkowymi tj. dochody pochodzące z </w:t>
      </w:r>
      <w:r w:rsidR="008511BA" w:rsidRPr="0058008E">
        <w:rPr>
          <w:rFonts w:ascii="Times New Roman" w:hAnsi="Times New Roman"/>
          <w:b w:val="0"/>
          <w:i w:val="0"/>
          <w:sz w:val="24"/>
        </w:rPr>
        <w:t xml:space="preserve">opłat za </w:t>
      </w:r>
      <w:r w:rsidRPr="0058008E">
        <w:rPr>
          <w:rFonts w:ascii="Times New Roman" w:hAnsi="Times New Roman"/>
          <w:b w:val="0"/>
          <w:i w:val="0"/>
          <w:sz w:val="24"/>
        </w:rPr>
        <w:t>naj</w:t>
      </w:r>
      <w:r w:rsidR="008511BA" w:rsidRPr="0058008E">
        <w:rPr>
          <w:rFonts w:ascii="Times New Roman" w:hAnsi="Times New Roman"/>
          <w:b w:val="0"/>
          <w:i w:val="0"/>
          <w:sz w:val="24"/>
        </w:rPr>
        <w:t>e</w:t>
      </w:r>
      <w:r w:rsidRPr="0058008E">
        <w:rPr>
          <w:rFonts w:ascii="Times New Roman" w:hAnsi="Times New Roman"/>
          <w:b w:val="0"/>
          <w:i w:val="0"/>
          <w:sz w:val="24"/>
        </w:rPr>
        <w:t>m</w:t>
      </w:r>
      <w:r w:rsidR="008511BA" w:rsidRPr="0058008E">
        <w:rPr>
          <w:rFonts w:ascii="Times New Roman" w:hAnsi="Times New Roman"/>
          <w:b w:val="0"/>
          <w:i w:val="0"/>
          <w:sz w:val="24"/>
        </w:rPr>
        <w:t xml:space="preserve"> i</w:t>
      </w:r>
      <w:r w:rsidRPr="0058008E">
        <w:rPr>
          <w:rFonts w:ascii="Times New Roman" w:hAnsi="Times New Roman"/>
          <w:b w:val="0"/>
          <w:i w:val="0"/>
          <w:sz w:val="24"/>
        </w:rPr>
        <w:t xml:space="preserve"> dzierżaw</w:t>
      </w:r>
      <w:r w:rsidR="008511BA" w:rsidRPr="0058008E">
        <w:rPr>
          <w:rFonts w:ascii="Times New Roman" w:hAnsi="Times New Roman"/>
          <w:b w:val="0"/>
          <w:i w:val="0"/>
          <w:sz w:val="24"/>
        </w:rPr>
        <w:t>ę</w:t>
      </w:r>
      <w:r w:rsidR="0037745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27AAE" w:rsidRPr="0058008E">
        <w:rPr>
          <w:rFonts w:ascii="Times New Roman" w:hAnsi="Times New Roman"/>
          <w:b w:val="0"/>
          <w:i w:val="0"/>
          <w:sz w:val="24"/>
        </w:rPr>
        <w:t>–</w:t>
      </w:r>
      <w:r w:rsidR="0037745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D11CE0" w:rsidRPr="0058008E">
        <w:rPr>
          <w:rFonts w:ascii="Times New Roman" w:hAnsi="Times New Roman"/>
          <w:b w:val="0"/>
          <w:i w:val="0"/>
          <w:sz w:val="24"/>
          <w:u w:val="single"/>
        </w:rPr>
        <w:t>41,3</w:t>
      </w:r>
      <w:r w:rsidR="009A0093" w:rsidRPr="0058008E">
        <w:rPr>
          <w:rFonts w:ascii="Times New Roman" w:hAnsi="Times New Roman"/>
          <w:b w:val="0"/>
          <w:i w:val="0"/>
          <w:sz w:val="24"/>
          <w:u w:val="single"/>
        </w:rPr>
        <w:t xml:space="preserve"> mln zł</w:t>
      </w:r>
      <w:r w:rsidR="00B348E7" w:rsidRPr="0058008E">
        <w:rPr>
          <w:rFonts w:ascii="Times New Roman" w:hAnsi="Times New Roman"/>
          <w:b w:val="0"/>
          <w:i w:val="0"/>
          <w:sz w:val="24"/>
        </w:rPr>
        <w:t>,</w:t>
      </w:r>
      <w:r w:rsidR="00276E4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A0093" w:rsidRPr="0058008E">
        <w:rPr>
          <w:rFonts w:ascii="Times New Roman" w:hAnsi="Times New Roman"/>
          <w:b w:val="0"/>
          <w:i w:val="0"/>
          <w:sz w:val="24"/>
        </w:rPr>
        <w:t>z których</w:t>
      </w:r>
      <w:r w:rsidR="00B348E7" w:rsidRPr="0058008E">
        <w:rPr>
          <w:rFonts w:ascii="Times New Roman" w:hAnsi="Times New Roman"/>
          <w:b w:val="0"/>
          <w:i w:val="0"/>
          <w:sz w:val="24"/>
        </w:rPr>
        <w:t>:</w:t>
      </w:r>
      <w:bookmarkEnd w:id="5"/>
    </w:p>
    <w:p w14:paraId="055AB436" w14:textId="35A05618" w:rsidR="00B348E7" w:rsidRPr="0058008E" w:rsidRDefault="00B830D0" w:rsidP="001E0A2D">
      <w:pPr>
        <w:pStyle w:val="Tekstpodstawowy2"/>
        <w:numPr>
          <w:ilvl w:val="1"/>
          <w:numId w:val="11"/>
        </w:numPr>
        <w:ind w:left="993" w:hanging="710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2</w:t>
      </w:r>
      <w:r w:rsidR="00D11CE0" w:rsidRPr="0058008E">
        <w:rPr>
          <w:rFonts w:ascii="Times New Roman" w:hAnsi="Times New Roman"/>
          <w:b w:val="0"/>
          <w:i w:val="0"/>
          <w:sz w:val="24"/>
        </w:rPr>
        <w:t>3</w:t>
      </w:r>
      <w:r w:rsidR="00490D60" w:rsidRPr="0058008E">
        <w:rPr>
          <w:rFonts w:ascii="Times New Roman" w:hAnsi="Times New Roman"/>
          <w:b w:val="0"/>
          <w:i w:val="0"/>
          <w:sz w:val="24"/>
        </w:rPr>
        <w:t>,</w:t>
      </w:r>
      <w:r w:rsidR="00D11CE0" w:rsidRPr="0058008E">
        <w:rPr>
          <w:rFonts w:ascii="Times New Roman" w:hAnsi="Times New Roman"/>
          <w:b w:val="0"/>
          <w:i w:val="0"/>
          <w:sz w:val="24"/>
        </w:rPr>
        <w:t>1</w:t>
      </w:r>
      <w:r w:rsidR="003F7CA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A0093" w:rsidRPr="0058008E">
        <w:rPr>
          <w:rFonts w:ascii="Times New Roman" w:hAnsi="Times New Roman"/>
          <w:b w:val="0"/>
          <w:i w:val="0"/>
          <w:sz w:val="24"/>
        </w:rPr>
        <w:t>mln zł to</w:t>
      </w:r>
      <w:r w:rsidR="003E4325" w:rsidRPr="0058008E">
        <w:rPr>
          <w:rFonts w:ascii="Times New Roman" w:hAnsi="Times New Roman"/>
          <w:b w:val="0"/>
          <w:i w:val="0"/>
          <w:sz w:val="24"/>
        </w:rPr>
        <w:t xml:space="preserve"> wpływy z czynszów w budynkach komunalnych</w:t>
      </w:r>
      <w:r w:rsidR="006C0285" w:rsidRPr="0058008E">
        <w:rPr>
          <w:rFonts w:ascii="Times New Roman" w:hAnsi="Times New Roman"/>
          <w:b w:val="0"/>
          <w:i w:val="0"/>
          <w:sz w:val="24"/>
        </w:rPr>
        <w:t>,</w:t>
      </w:r>
      <w:r w:rsidR="00E83E73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03C03A1D" w14:textId="026F71E6" w:rsidR="00B348E7" w:rsidRPr="0058008E" w:rsidRDefault="00A865E0" w:rsidP="001E0A2D">
      <w:pPr>
        <w:pStyle w:val="Tekstpodstawowy2"/>
        <w:numPr>
          <w:ilvl w:val="1"/>
          <w:numId w:val="11"/>
        </w:numPr>
        <w:ind w:left="993" w:hanging="710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  </w:t>
      </w:r>
      <w:r w:rsidR="00D11CE0" w:rsidRPr="0058008E">
        <w:rPr>
          <w:rFonts w:ascii="Times New Roman" w:hAnsi="Times New Roman"/>
          <w:b w:val="0"/>
          <w:i w:val="0"/>
          <w:sz w:val="24"/>
        </w:rPr>
        <w:t>9</w:t>
      </w:r>
      <w:r w:rsidR="00B830D0" w:rsidRPr="0058008E">
        <w:rPr>
          <w:rFonts w:ascii="Times New Roman" w:hAnsi="Times New Roman"/>
          <w:b w:val="0"/>
          <w:i w:val="0"/>
          <w:sz w:val="24"/>
        </w:rPr>
        <w:t>,2</w:t>
      </w:r>
      <w:r w:rsidR="00E83E73" w:rsidRPr="0058008E">
        <w:rPr>
          <w:rFonts w:ascii="Times New Roman" w:hAnsi="Times New Roman"/>
          <w:b w:val="0"/>
          <w:i w:val="0"/>
          <w:sz w:val="24"/>
        </w:rPr>
        <w:t xml:space="preserve"> mln zł to </w:t>
      </w:r>
      <w:r w:rsidR="00076D66" w:rsidRPr="0058008E">
        <w:rPr>
          <w:rFonts w:ascii="Times New Roman" w:hAnsi="Times New Roman"/>
          <w:b w:val="0"/>
          <w:i w:val="0"/>
          <w:sz w:val="24"/>
        </w:rPr>
        <w:t>wpływy z</w:t>
      </w:r>
      <w:r w:rsidR="006A4F98" w:rsidRPr="0058008E">
        <w:rPr>
          <w:rFonts w:ascii="Times New Roman" w:hAnsi="Times New Roman"/>
          <w:b w:val="0"/>
          <w:i w:val="0"/>
          <w:sz w:val="24"/>
        </w:rPr>
        <w:t xml:space="preserve">a dzierżawę działek </w:t>
      </w:r>
      <w:r w:rsidR="00693006" w:rsidRPr="0058008E">
        <w:rPr>
          <w:rFonts w:ascii="Times New Roman" w:hAnsi="Times New Roman"/>
          <w:b w:val="0"/>
          <w:i w:val="0"/>
          <w:sz w:val="24"/>
        </w:rPr>
        <w:t>miejskich</w:t>
      </w:r>
      <w:r w:rsidR="002325A0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1B4728F6" w14:textId="7CE14211" w:rsidR="0037745D" w:rsidRPr="009722B5" w:rsidRDefault="00A865E0" w:rsidP="001E0A2D">
      <w:pPr>
        <w:pStyle w:val="Tekstpodstawowy2"/>
        <w:numPr>
          <w:ilvl w:val="1"/>
          <w:numId w:val="11"/>
        </w:numPr>
        <w:ind w:left="426" w:hanging="143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  </w:t>
      </w:r>
      <w:r w:rsidR="008B53FF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</w:t>
      </w:r>
      <w:r w:rsidR="001E0A2D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344CBE" w:rsidRPr="0058008E">
        <w:rPr>
          <w:rFonts w:ascii="Times New Roman" w:hAnsi="Times New Roman"/>
          <w:b w:val="0"/>
          <w:i w:val="0"/>
          <w:sz w:val="24"/>
        </w:rPr>
        <w:t>9,0</w:t>
      </w:r>
      <w:r w:rsidR="008B53FF" w:rsidRPr="0058008E">
        <w:rPr>
          <w:rFonts w:ascii="Times New Roman" w:hAnsi="Times New Roman"/>
          <w:b w:val="0"/>
          <w:i w:val="0"/>
          <w:sz w:val="24"/>
        </w:rPr>
        <w:t xml:space="preserve"> mln zł </w:t>
      </w:r>
      <w:r w:rsidR="00E83E73" w:rsidRPr="0058008E">
        <w:rPr>
          <w:rFonts w:ascii="Times New Roman" w:hAnsi="Times New Roman"/>
          <w:b w:val="0"/>
          <w:i w:val="0"/>
          <w:sz w:val="24"/>
        </w:rPr>
        <w:t>pozost</w:t>
      </w:r>
      <w:r w:rsidR="00BF0BBA" w:rsidRPr="0058008E">
        <w:rPr>
          <w:rFonts w:ascii="Times New Roman" w:hAnsi="Times New Roman"/>
          <w:b w:val="0"/>
          <w:i w:val="0"/>
          <w:sz w:val="24"/>
        </w:rPr>
        <w:t xml:space="preserve">ałe </w:t>
      </w:r>
      <w:r w:rsidR="008511BA" w:rsidRPr="0058008E">
        <w:rPr>
          <w:rFonts w:ascii="Times New Roman" w:hAnsi="Times New Roman"/>
          <w:b w:val="0"/>
          <w:i w:val="0"/>
          <w:sz w:val="24"/>
        </w:rPr>
        <w:t xml:space="preserve">dochody </w:t>
      </w:r>
      <w:r w:rsidR="007D66C1" w:rsidRPr="0058008E">
        <w:rPr>
          <w:rFonts w:ascii="Times New Roman" w:hAnsi="Times New Roman"/>
          <w:b w:val="0"/>
          <w:i w:val="0"/>
          <w:sz w:val="24"/>
        </w:rPr>
        <w:t>osiągnięt</w:t>
      </w:r>
      <w:r w:rsidR="006323BA" w:rsidRPr="0058008E">
        <w:rPr>
          <w:rFonts w:ascii="Times New Roman" w:hAnsi="Times New Roman"/>
          <w:b w:val="0"/>
          <w:i w:val="0"/>
          <w:sz w:val="24"/>
        </w:rPr>
        <w:t>e</w:t>
      </w:r>
      <w:r w:rsidR="008B53FF" w:rsidRPr="0058008E">
        <w:rPr>
          <w:rFonts w:ascii="Times New Roman" w:hAnsi="Times New Roman"/>
          <w:b w:val="0"/>
          <w:i w:val="0"/>
          <w:sz w:val="24"/>
        </w:rPr>
        <w:t xml:space="preserve"> m.in</w:t>
      </w:r>
      <w:r w:rsidR="007D66C1" w:rsidRPr="0058008E">
        <w:rPr>
          <w:rFonts w:ascii="Times New Roman" w:hAnsi="Times New Roman"/>
          <w:b w:val="0"/>
          <w:i w:val="0"/>
          <w:sz w:val="24"/>
        </w:rPr>
        <w:t xml:space="preserve">: </w:t>
      </w:r>
      <w:r w:rsidR="00B348E7" w:rsidRPr="0058008E">
        <w:rPr>
          <w:rFonts w:ascii="Times New Roman" w:hAnsi="Times New Roman"/>
          <w:b w:val="0"/>
          <w:i w:val="0"/>
          <w:sz w:val="24"/>
        </w:rPr>
        <w:t>z wynajm</w:t>
      </w:r>
      <w:r w:rsidR="00D608D7" w:rsidRPr="0058008E">
        <w:rPr>
          <w:rFonts w:ascii="Times New Roman" w:hAnsi="Times New Roman"/>
          <w:b w:val="0"/>
          <w:i w:val="0"/>
          <w:sz w:val="24"/>
        </w:rPr>
        <w:t>u</w:t>
      </w:r>
      <w:r w:rsidR="00B348E7" w:rsidRPr="0058008E">
        <w:rPr>
          <w:rFonts w:ascii="Times New Roman" w:hAnsi="Times New Roman"/>
          <w:b w:val="0"/>
          <w:i w:val="0"/>
          <w:sz w:val="24"/>
        </w:rPr>
        <w:t xml:space="preserve"> pomieszczeń</w:t>
      </w:r>
      <w:r w:rsidR="008B53FF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02004" w:rsidRPr="0058008E">
        <w:rPr>
          <w:rFonts w:ascii="Times New Roman" w:hAnsi="Times New Roman"/>
          <w:b w:val="0"/>
          <w:i w:val="0"/>
          <w:sz w:val="24"/>
        </w:rPr>
        <w:t xml:space="preserve">przez placówki oświatowe </w:t>
      </w:r>
      <w:r w:rsidR="00B348E7" w:rsidRPr="0058008E">
        <w:rPr>
          <w:rFonts w:ascii="Times New Roman" w:hAnsi="Times New Roman"/>
          <w:b w:val="0"/>
          <w:i w:val="0"/>
          <w:sz w:val="24"/>
        </w:rPr>
        <w:t>(</w:t>
      </w:r>
      <w:r w:rsidR="00344CBE" w:rsidRPr="0058008E">
        <w:rPr>
          <w:rFonts w:ascii="Times New Roman" w:hAnsi="Times New Roman"/>
          <w:b w:val="0"/>
          <w:i w:val="0"/>
          <w:sz w:val="24"/>
        </w:rPr>
        <w:t>2,5</w:t>
      </w:r>
      <w:r w:rsidR="00BF0BBA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B348E7" w:rsidRPr="0058008E">
        <w:rPr>
          <w:rFonts w:ascii="Times New Roman" w:hAnsi="Times New Roman"/>
          <w:b w:val="0"/>
          <w:i w:val="0"/>
          <w:sz w:val="24"/>
        </w:rPr>
        <w:t>)</w:t>
      </w:r>
      <w:r w:rsidR="00BF0BBA" w:rsidRPr="0058008E">
        <w:rPr>
          <w:rFonts w:ascii="Times New Roman" w:hAnsi="Times New Roman"/>
          <w:b w:val="0"/>
          <w:i w:val="0"/>
          <w:sz w:val="24"/>
        </w:rPr>
        <w:t xml:space="preserve">, </w:t>
      </w:r>
      <w:r w:rsidR="007D66C1" w:rsidRPr="0058008E">
        <w:rPr>
          <w:rFonts w:ascii="Times New Roman" w:hAnsi="Times New Roman"/>
          <w:b w:val="0"/>
          <w:i w:val="0"/>
          <w:sz w:val="24"/>
        </w:rPr>
        <w:t xml:space="preserve">z </w:t>
      </w:r>
      <w:r w:rsidR="00BF0BBA" w:rsidRPr="0058008E">
        <w:rPr>
          <w:rFonts w:ascii="Times New Roman" w:hAnsi="Times New Roman"/>
          <w:b w:val="0"/>
          <w:i w:val="0"/>
          <w:sz w:val="24"/>
        </w:rPr>
        <w:t>dzierżaw</w:t>
      </w:r>
      <w:r w:rsidR="00D608D7" w:rsidRPr="0058008E">
        <w:rPr>
          <w:rFonts w:ascii="Times New Roman" w:hAnsi="Times New Roman"/>
          <w:b w:val="0"/>
          <w:i w:val="0"/>
          <w:sz w:val="24"/>
        </w:rPr>
        <w:t>y</w:t>
      </w:r>
      <w:r w:rsidR="00BF0BBA" w:rsidRPr="0058008E">
        <w:rPr>
          <w:rFonts w:ascii="Times New Roman" w:hAnsi="Times New Roman"/>
          <w:b w:val="0"/>
          <w:i w:val="0"/>
          <w:sz w:val="24"/>
        </w:rPr>
        <w:t xml:space="preserve"> mo</w:t>
      </w:r>
      <w:r w:rsidR="00B348E7" w:rsidRPr="0058008E">
        <w:rPr>
          <w:rFonts w:ascii="Times New Roman" w:hAnsi="Times New Roman"/>
          <w:b w:val="0"/>
          <w:i w:val="0"/>
          <w:sz w:val="24"/>
        </w:rPr>
        <w:t>l</w:t>
      </w:r>
      <w:r w:rsidR="00D608D7" w:rsidRPr="0058008E">
        <w:rPr>
          <w:rFonts w:ascii="Times New Roman" w:hAnsi="Times New Roman"/>
          <w:b w:val="0"/>
          <w:i w:val="0"/>
          <w:sz w:val="24"/>
        </w:rPr>
        <w:t>a</w:t>
      </w:r>
      <w:r w:rsidR="000A1F49" w:rsidRPr="0058008E">
        <w:rPr>
          <w:rFonts w:ascii="Times New Roman" w:hAnsi="Times New Roman"/>
          <w:b w:val="0"/>
          <w:i w:val="0"/>
          <w:sz w:val="24"/>
        </w:rPr>
        <w:t xml:space="preserve"> oraz </w:t>
      </w:r>
      <w:r w:rsidR="0025298E" w:rsidRPr="0058008E">
        <w:rPr>
          <w:rFonts w:ascii="Times New Roman" w:hAnsi="Times New Roman"/>
          <w:b w:val="0"/>
          <w:i w:val="0"/>
          <w:sz w:val="24"/>
        </w:rPr>
        <w:t>dzierżaw</w:t>
      </w:r>
      <w:r w:rsidR="00D608D7" w:rsidRPr="0058008E">
        <w:rPr>
          <w:rFonts w:ascii="Times New Roman" w:hAnsi="Times New Roman"/>
          <w:b w:val="0"/>
          <w:i w:val="0"/>
          <w:sz w:val="24"/>
        </w:rPr>
        <w:t>y</w:t>
      </w:r>
      <w:r w:rsidR="0025298E" w:rsidRPr="0058008E">
        <w:rPr>
          <w:rFonts w:ascii="Times New Roman" w:hAnsi="Times New Roman"/>
          <w:b w:val="0"/>
          <w:i w:val="0"/>
          <w:sz w:val="24"/>
        </w:rPr>
        <w:t xml:space="preserve"> terenów będących w dyspozycji Miejskieg</w:t>
      </w:r>
      <w:r w:rsidR="00BC108C" w:rsidRPr="0058008E">
        <w:rPr>
          <w:rFonts w:ascii="Times New Roman" w:hAnsi="Times New Roman"/>
          <w:b w:val="0"/>
          <w:i w:val="0"/>
          <w:sz w:val="24"/>
        </w:rPr>
        <w:t xml:space="preserve">o Ośrodka Sopotu i Rekreacji </w:t>
      </w:r>
      <w:r w:rsidR="00B348E7" w:rsidRPr="0058008E">
        <w:rPr>
          <w:rFonts w:ascii="Times New Roman" w:hAnsi="Times New Roman"/>
          <w:b w:val="0"/>
          <w:i w:val="0"/>
          <w:sz w:val="24"/>
        </w:rPr>
        <w:t>(</w:t>
      </w:r>
      <w:r w:rsidR="00344CBE" w:rsidRPr="0058008E">
        <w:rPr>
          <w:rFonts w:ascii="Times New Roman" w:hAnsi="Times New Roman"/>
          <w:b w:val="0"/>
          <w:i w:val="0"/>
          <w:sz w:val="24"/>
        </w:rPr>
        <w:t>6,5</w:t>
      </w:r>
      <w:r w:rsidR="00B830D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25298E" w:rsidRPr="0058008E">
        <w:rPr>
          <w:rFonts w:ascii="Times New Roman" w:hAnsi="Times New Roman"/>
          <w:b w:val="0"/>
          <w:i w:val="0"/>
          <w:sz w:val="24"/>
        </w:rPr>
        <w:t>mln. zł</w:t>
      </w:r>
      <w:r w:rsidR="00BF0BBA" w:rsidRPr="0058008E">
        <w:rPr>
          <w:rFonts w:ascii="Times New Roman" w:hAnsi="Times New Roman"/>
          <w:b w:val="0"/>
          <w:i w:val="0"/>
          <w:sz w:val="24"/>
        </w:rPr>
        <w:t>)</w:t>
      </w:r>
      <w:r w:rsidR="00490D6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90D60" w:rsidRPr="009722B5">
        <w:rPr>
          <w:rFonts w:ascii="Times New Roman" w:hAnsi="Times New Roman"/>
          <w:b w:val="0"/>
          <w:i w:val="0"/>
          <w:sz w:val="24"/>
        </w:rPr>
        <w:t>oraz</w:t>
      </w:r>
      <w:r w:rsidR="006323BA" w:rsidRPr="009722B5">
        <w:rPr>
          <w:rFonts w:ascii="Times New Roman" w:hAnsi="Times New Roman"/>
          <w:b w:val="0"/>
          <w:i w:val="0"/>
          <w:sz w:val="24"/>
        </w:rPr>
        <w:t xml:space="preserve"> przez </w:t>
      </w:r>
      <w:proofErr w:type="spellStart"/>
      <w:r w:rsidR="00490D60" w:rsidRPr="009722B5">
        <w:rPr>
          <w:rFonts w:ascii="Times New Roman" w:hAnsi="Times New Roman"/>
          <w:b w:val="0"/>
          <w:i w:val="0"/>
          <w:sz w:val="24"/>
        </w:rPr>
        <w:t>ZDiZ</w:t>
      </w:r>
      <w:proofErr w:type="spellEnd"/>
      <w:r w:rsidR="009722B5" w:rsidRPr="009722B5">
        <w:rPr>
          <w:rFonts w:ascii="Times New Roman" w:hAnsi="Times New Roman"/>
          <w:b w:val="0"/>
          <w:i w:val="0"/>
          <w:sz w:val="24"/>
        </w:rPr>
        <w:t xml:space="preserve"> (664</w:t>
      </w:r>
      <w:r w:rsidR="00B830D0" w:rsidRPr="009722B5">
        <w:rPr>
          <w:rFonts w:ascii="Times New Roman" w:hAnsi="Times New Roman"/>
          <w:b w:val="0"/>
          <w:i w:val="0"/>
          <w:sz w:val="24"/>
        </w:rPr>
        <w:t>.</w:t>
      </w:r>
      <w:r w:rsidR="009722B5" w:rsidRPr="009722B5">
        <w:rPr>
          <w:rFonts w:ascii="Times New Roman" w:hAnsi="Times New Roman"/>
          <w:b w:val="0"/>
          <w:i w:val="0"/>
          <w:sz w:val="24"/>
        </w:rPr>
        <w:t>485 zł)</w:t>
      </w:r>
      <w:r w:rsidR="00490D60" w:rsidRPr="009722B5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13FB2414" w14:textId="165730B3" w:rsidR="0037745D" w:rsidRPr="0058008E" w:rsidRDefault="004E0945" w:rsidP="000A1F49">
      <w:pPr>
        <w:pStyle w:val="Tekstpodstawowy2"/>
        <w:numPr>
          <w:ilvl w:val="0"/>
          <w:numId w:val="11"/>
        </w:numPr>
        <w:ind w:left="283" w:hanging="283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opłat za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przekształcenia prawa użytkowania wieczystego gruntu </w:t>
      </w:r>
      <w:r w:rsidR="00430677" w:rsidRPr="0058008E">
        <w:rPr>
          <w:rFonts w:ascii="Times New Roman" w:hAnsi="Times New Roman"/>
          <w:b w:val="0"/>
          <w:i w:val="0"/>
          <w:sz w:val="24"/>
        </w:rPr>
        <w:t xml:space="preserve">w prawo </w:t>
      </w:r>
      <w:r w:rsidR="006C0285" w:rsidRPr="0058008E">
        <w:rPr>
          <w:rFonts w:ascii="Times New Roman" w:hAnsi="Times New Roman"/>
          <w:b w:val="0"/>
          <w:i w:val="0"/>
          <w:sz w:val="24"/>
        </w:rPr>
        <w:t>własnoś</w:t>
      </w:r>
      <w:r w:rsidR="00430677" w:rsidRPr="0058008E">
        <w:rPr>
          <w:rFonts w:ascii="Times New Roman" w:hAnsi="Times New Roman"/>
          <w:b w:val="0"/>
          <w:i w:val="0"/>
          <w:sz w:val="24"/>
        </w:rPr>
        <w:t>ci</w:t>
      </w:r>
      <w:r w:rsidR="00D515E2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5364C2" w:rsidRPr="0058008E">
        <w:rPr>
          <w:rFonts w:ascii="Times New Roman" w:hAnsi="Times New Roman"/>
          <w:b w:val="0"/>
          <w:i w:val="0"/>
          <w:sz w:val="24"/>
        </w:rPr>
        <w:t>–</w:t>
      </w:r>
      <w:r w:rsidR="00D515E2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77443" w:rsidRPr="0058008E">
        <w:rPr>
          <w:rFonts w:ascii="Times New Roman" w:hAnsi="Times New Roman"/>
          <w:b w:val="0"/>
          <w:i w:val="0"/>
          <w:sz w:val="24"/>
          <w:u w:val="single"/>
        </w:rPr>
        <w:t>1</w:t>
      </w:r>
      <w:r w:rsidR="003E28EC" w:rsidRPr="0058008E">
        <w:rPr>
          <w:rFonts w:ascii="Times New Roman" w:hAnsi="Times New Roman"/>
          <w:b w:val="0"/>
          <w:i w:val="0"/>
          <w:sz w:val="24"/>
          <w:u w:val="single"/>
        </w:rPr>
        <w:t>,</w:t>
      </w:r>
      <w:r w:rsidR="00344CBE" w:rsidRPr="0058008E">
        <w:rPr>
          <w:rFonts w:ascii="Times New Roman" w:hAnsi="Times New Roman"/>
          <w:b w:val="0"/>
          <w:i w:val="0"/>
          <w:sz w:val="24"/>
          <w:u w:val="single"/>
        </w:rPr>
        <w:t>3</w:t>
      </w:r>
      <w:r w:rsidR="00D515E2" w:rsidRPr="0058008E">
        <w:rPr>
          <w:rFonts w:ascii="Times New Roman" w:hAnsi="Times New Roman"/>
          <w:b w:val="0"/>
          <w:i w:val="0"/>
          <w:sz w:val="24"/>
          <w:u w:val="single"/>
        </w:rPr>
        <w:t xml:space="preserve"> mln </w:t>
      </w:r>
      <w:r w:rsidR="00693006" w:rsidRPr="0058008E">
        <w:rPr>
          <w:rFonts w:ascii="Times New Roman" w:hAnsi="Times New Roman"/>
          <w:b w:val="0"/>
          <w:i w:val="0"/>
          <w:sz w:val="24"/>
          <w:u w:val="single"/>
        </w:rPr>
        <w:t>zł,</w:t>
      </w:r>
      <w:r w:rsidR="00426F1A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24A3C445" w14:textId="53586109" w:rsidR="00076D66" w:rsidRPr="0058008E" w:rsidRDefault="003502E3" w:rsidP="000A1F49">
      <w:pPr>
        <w:pStyle w:val="Tekstpodstawowy2"/>
        <w:numPr>
          <w:ilvl w:val="0"/>
          <w:numId w:val="11"/>
        </w:numPr>
        <w:ind w:left="283" w:hanging="283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opłat </w:t>
      </w:r>
      <w:r w:rsidR="00D515E2" w:rsidRPr="0058008E">
        <w:rPr>
          <w:rFonts w:ascii="Times New Roman" w:hAnsi="Times New Roman"/>
          <w:b w:val="0"/>
          <w:i w:val="0"/>
          <w:sz w:val="24"/>
        </w:rPr>
        <w:t xml:space="preserve">za </w:t>
      </w:r>
      <w:r w:rsidR="00076D66" w:rsidRPr="0058008E">
        <w:rPr>
          <w:rFonts w:ascii="Times New Roman" w:hAnsi="Times New Roman"/>
          <w:b w:val="0"/>
          <w:i w:val="0"/>
          <w:sz w:val="24"/>
        </w:rPr>
        <w:t xml:space="preserve">użytkowanie wieczyste - </w:t>
      </w:r>
      <w:r w:rsidR="00451F96" w:rsidRPr="0058008E">
        <w:rPr>
          <w:rFonts w:ascii="Times New Roman" w:hAnsi="Times New Roman"/>
          <w:b w:val="0"/>
          <w:i w:val="0"/>
          <w:sz w:val="24"/>
          <w:u w:val="single"/>
        </w:rPr>
        <w:t>1</w:t>
      </w:r>
      <w:r w:rsidR="00344CBE" w:rsidRPr="0058008E">
        <w:rPr>
          <w:rFonts w:ascii="Times New Roman" w:hAnsi="Times New Roman"/>
          <w:b w:val="0"/>
          <w:i w:val="0"/>
          <w:sz w:val="24"/>
          <w:u w:val="single"/>
        </w:rPr>
        <w:t>0</w:t>
      </w:r>
      <w:r w:rsidR="003E28EC" w:rsidRPr="0058008E">
        <w:rPr>
          <w:rFonts w:ascii="Times New Roman" w:hAnsi="Times New Roman"/>
          <w:b w:val="0"/>
          <w:i w:val="0"/>
          <w:sz w:val="24"/>
          <w:u w:val="single"/>
        </w:rPr>
        <w:t>,</w:t>
      </w:r>
      <w:r w:rsidR="00344CBE" w:rsidRPr="0058008E">
        <w:rPr>
          <w:rFonts w:ascii="Times New Roman" w:hAnsi="Times New Roman"/>
          <w:b w:val="0"/>
          <w:i w:val="0"/>
          <w:sz w:val="24"/>
          <w:u w:val="single"/>
        </w:rPr>
        <w:t>6</w:t>
      </w:r>
      <w:r w:rsidR="00076D66" w:rsidRPr="0058008E">
        <w:rPr>
          <w:rFonts w:ascii="Times New Roman" w:hAnsi="Times New Roman"/>
          <w:b w:val="0"/>
          <w:i w:val="0"/>
          <w:sz w:val="24"/>
          <w:u w:val="single"/>
        </w:rPr>
        <w:t xml:space="preserve"> mln zł</w:t>
      </w:r>
      <w:r w:rsidR="00A2041C" w:rsidRPr="0058008E">
        <w:rPr>
          <w:rStyle w:val="Odwoanieprzypisudolnego"/>
          <w:rFonts w:ascii="Times New Roman" w:hAnsi="Times New Roman"/>
          <w:b w:val="0"/>
          <w:i w:val="0"/>
          <w:sz w:val="24"/>
          <w:u w:val="single"/>
        </w:rPr>
        <w:footnoteReference w:id="4"/>
      </w:r>
      <w:bookmarkStart w:id="6" w:name="_Hlk67387211"/>
      <w:r w:rsidR="00A76DBA" w:rsidRPr="0058008E">
        <w:rPr>
          <w:rFonts w:ascii="Times New Roman" w:hAnsi="Times New Roman"/>
          <w:b w:val="0"/>
          <w:i w:val="0"/>
          <w:sz w:val="24"/>
          <w:u w:val="single"/>
        </w:rPr>
        <w:t>,</w:t>
      </w:r>
    </w:p>
    <w:bookmarkEnd w:id="6"/>
    <w:p w14:paraId="39AD5CF7" w14:textId="1087D252" w:rsidR="00AC5B76" w:rsidRPr="0058008E" w:rsidRDefault="00426F1A" w:rsidP="000A1F49">
      <w:pPr>
        <w:pStyle w:val="Tekstpodstawowy2"/>
        <w:numPr>
          <w:ilvl w:val="0"/>
          <w:numId w:val="11"/>
        </w:numPr>
        <w:ind w:left="283" w:hanging="283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sprzedaży składników majątkowych</w:t>
      </w:r>
      <w:r w:rsidR="00AC5B76" w:rsidRPr="0058008E">
        <w:rPr>
          <w:rFonts w:ascii="Times New Roman" w:hAnsi="Times New Roman"/>
          <w:b w:val="0"/>
          <w:i w:val="0"/>
          <w:sz w:val="24"/>
        </w:rPr>
        <w:t xml:space="preserve"> (gruntów)</w:t>
      </w:r>
      <w:r w:rsidR="00076D6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77443" w:rsidRPr="0058008E">
        <w:rPr>
          <w:rFonts w:ascii="Times New Roman" w:hAnsi="Times New Roman"/>
          <w:b w:val="0"/>
          <w:i w:val="0"/>
          <w:sz w:val="24"/>
        </w:rPr>
        <w:t>–</w:t>
      </w:r>
      <w:r w:rsidR="00076D6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F4AAE" w:rsidRPr="0058008E">
        <w:rPr>
          <w:rFonts w:ascii="Times New Roman" w:hAnsi="Times New Roman"/>
          <w:b w:val="0"/>
          <w:i w:val="0"/>
          <w:sz w:val="24"/>
          <w:u w:val="single"/>
        </w:rPr>
        <w:t>9,3</w:t>
      </w:r>
      <w:r w:rsidR="00076D66" w:rsidRPr="0058008E">
        <w:rPr>
          <w:rFonts w:ascii="Times New Roman" w:hAnsi="Times New Roman"/>
          <w:b w:val="0"/>
          <w:i w:val="0"/>
          <w:sz w:val="24"/>
          <w:u w:val="single"/>
        </w:rPr>
        <w:t xml:space="preserve"> mln zł</w:t>
      </w:r>
      <w:r w:rsidRPr="0058008E">
        <w:rPr>
          <w:rFonts w:ascii="Times New Roman" w:hAnsi="Times New Roman"/>
          <w:b w:val="0"/>
          <w:i w:val="0"/>
          <w:sz w:val="24"/>
          <w:u w:val="single"/>
        </w:rPr>
        <w:t>,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4AD437A9" w14:textId="77777777" w:rsidR="00A76DBA" w:rsidRPr="0058008E" w:rsidRDefault="00AC5B76" w:rsidP="000A1F49">
      <w:pPr>
        <w:pStyle w:val="Tekstpodstawowy2"/>
        <w:ind w:firstLine="284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Dochody ze sprzedaży składników majątkowych </w:t>
      </w:r>
      <w:r w:rsidR="00CD73AF" w:rsidRPr="0058008E">
        <w:rPr>
          <w:rFonts w:ascii="Times New Roman" w:hAnsi="Times New Roman"/>
          <w:b w:val="0"/>
          <w:i w:val="0"/>
          <w:sz w:val="24"/>
          <w:szCs w:val="24"/>
        </w:rPr>
        <w:t>wykonane zostały na poziomie</w:t>
      </w:r>
    </w:p>
    <w:p w14:paraId="1B043EA4" w14:textId="3E200753" w:rsidR="00D815B2" w:rsidRPr="0058008E" w:rsidRDefault="00CF4AAE" w:rsidP="000A1F49">
      <w:pPr>
        <w:pStyle w:val="Tekstpodstawowy2"/>
        <w:ind w:firstLine="284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19,02</w:t>
      </w:r>
      <w:r w:rsidR="00AC5B76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AC5B76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05AED289" w14:textId="3163620D" w:rsidR="00FC0CE3" w:rsidRPr="0058008E" w:rsidRDefault="006C0285">
      <w:pPr>
        <w:pStyle w:val="Tekstpodstawowy2"/>
        <w:numPr>
          <w:ilvl w:val="0"/>
          <w:numId w:val="11"/>
        </w:numPr>
        <w:ind w:left="283" w:hanging="283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podatków i opłat lokalnych</w:t>
      </w:r>
      <w:r w:rsidR="00076D6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DD535B" w:rsidRPr="0058008E">
        <w:rPr>
          <w:rFonts w:ascii="Times New Roman" w:hAnsi="Times New Roman"/>
          <w:b w:val="0"/>
          <w:i w:val="0"/>
          <w:sz w:val="24"/>
        </w:rPr>
        <w:t>–</w:t>
      </w:r>
      <w:r w:rsidR="00076D6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F4AAE" w:rsidRPr="0058008E">
        <w:rPr>
          <w:rFonts w:ascii="Times New Roman" w:hAnsi="Times New Roman"/>
          <w:b w:val="0"/>
          <w:i w:val="0"/>
          <w:sz w:val="24"/>
          <w:u w:val="single"/>
        </w:rPr>
        <w:t>10</w:t>
      </w:r>
      <w:r w:rsidR="00AE7D2D">
        <w:rPr>
          <w:rFonts w:ascii="Times New Roman" w:hAnsi="Times New Roman"/>
          <w:b w:val="0"/>
          <w:i w:val="0"/>
          <w:sz w:val="24"/>
          <w:u w:val="single"/>
        </w:rPr>
        <w:t>5</w:t>
      </w:r>
      <w:r w:rsidR="00CF4AAE" w:rsidRPr="0058008E">
        <w:rPr>
          <w:rFonts w:ascii="Times New Roman" w:hAnsi="Times New Roman"/>
          <w:b w:val="0"/>
          <w:i w:val="0"/>
          <w:sz w:val="24"/>
          <w:u w:val="single"/>
        </w:rPr>
        <w:t>,</w:t>
      </w:r>
      <w:r w:rsidR="00AE7D2D">
        <w:rPr>
          <w:rFonts w:ascii="Times New Roman" w:hAnsi="Times New Roman"/>
          <w:b w:val="0"/>
          <w:i w:val="0"/>
          <w:sz w:val="24"/>
          <w:u w:val="single"/>
        </w:rPr>
        <w:t>8</w:t>
      </w:r>
      <w:r w:rsidR="004D4734" w:rsidRPr="0058008E">
        <w:rPr>
          <w:rFonts w:ascii="Times New Roman" w:hAnsi="Times New Roman"/>
          <w:b w:val="0"/>
          <w:i w:val="0"/>
          <w:sz w:val="24"/>
          <w:u w:val="single"/>
        </w:rPr>
        <w:t>m</w:t>
      </w:r>
      <w:r w:rsidR="00076D66" w:rsidRPr="0058008E">
        <w:rPr>
          <w:rFonts w:ascii="Times New Roman" w:hAnsi="Times New Roman"/>
          <w:b w:val="0"/>
          <w:i w:val="0"/>
          <w:sz w:val="24"/>
          <w:u w:val="single"/>
        </w:rPr>
        <w:t>ln zł,</w:t>
      </w:r>
      <w:r w:rsidR="009A4D25" w:rsidRPr="0058008E">
        <w:rPr>
          <w:rStyle w:val="Odwoanieprzypisudolnego"/>
          <w:rFonts w:ascii="Times New Roman" w:hAnsi="Times New Roman"/>
          <w:b w:val="0"/>
          <w:i w:val="0"/>
          <w:sz w:val="24"/>
          <w:u w:val="single"/>
        </w:rPr>
        <w:footnoteReference w:id="5"/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724F7" w:rsidRPr="0058008E">
        <w:rPr>
          <w:rFonts w:ascii="Times New Roman" w:hAnsi="Times New Roman"/>
          <w:b w:val="0"/>
          <w:i w:val="0"/>
          <w:sz w:val="24"/>
        </w:rPr>
        <w:t>Z</w:t>
      </w:r>
      <w:r w:rsidR="00482751" w:rsidRPr="0058008E">
        <w:rPr>
          <w:rFonts w:ascii="Times New Roman" w:hAnsi="Times New Roman"/>
          <w:b w:val="0"/>
          <w:i w:val="0"/>
          <w:sz w:val="24"/>
        </w:rPr>
        <w:t xml:space="preserve">ajęły </w:t>
      </w:r>
      <w:r w:rsidR="00C724F7" w:rsidRPr="0058008E">
        <w:rPr>
          <w:rFonts w:ascii="Times New Roman" w:hAnsi="Times New Roman"/>
          <w:b w:val="0"/>
          <w:i w:val="0"/>
          <w:sz w:val="24"/>
        </w:rPr>
        <w:t xml:space="preserve">one </w:t>
      </w:r>
      <w:r w:rsidR="00482751" w:rsidRPr="0058008E">
        <w:rPr>
          <w:rFonts w:ascii="Times New Roman" w:hAnsi="Times New Roman"/>
          <w:b w:val="0"/>
          <w:i w:val="0"/>
          <w:sz w:val="24"/>
        </w:rPr>
        <w:t xml:space="preserve">w strukturze dochodów </w:t>
      </w:r>
      <w:r w:rsidR="00095D82" w:rsidRPr="0058008E">
        <w:rPr>
          <w:rFonts w:ascii="Times New Roman" w:hAnsi="Times New Roman"/>
          <w:b w:val="0"/>
          <w:i w:val="0"/>
          <w:sz w:val="24"/>
        </w:rPr>
        <w:t>1</w:t>
      </w:r>
      <w:r w:rsidR="00AE7D2D">
        <w:rPr>
          <w:rFonts w:ascii="Times New Roman" w:hAnsi="Times New Roman"/>
          <w:b w:val="0"/>
          <w:i w:val="0"/>
          <w:sz w:val="24"/>
        </w:rPr>
        <w:t>9</w:t>
      </w:r>
      <w:r w:rsidR="00DD535B" w:rsidRPr="0058008E">
        <w:rPr>
          <w:rFonts w:ascii="Times New Roman" w:hAnsi="Times New Roman"/>
          <w:b w:val="0"/>
          <w:i w:val="0"/>
          <w:sz w:val="24"/>
        </w:rPr>
        <w:t>,</w:t>
      </w:r>
      <w:r w:rsidR="00CF4AAE" w:rsidRPr="0058008E">
        <w:rPr>
          <w:rFonts w:ascii="Times New Roman" w:hAnsi="Times New Roman"/>
          <w:b w:val="0"/>
          <w:i w:val="0"/>
          <w:sz w:val="24"/>
        </w:rPr>
        <w:t>6</w:t>
      </w:r>
      <w:r w:rsidR="00AE7D2D">
        <w:rPr>
          <w:rFonts w:ascii="Times New Roman" w:hAnsi="Times New Roman"/>
          <w:b w:val="0"/>
          <w:i w:val="0"/>
          <w:sz w:val="24"/>
        </w:rPr>
        <w:t>7</w:t>
      </w:r>
      <w:r w:rsidR="00FC0CE3" w:rsidRPr="0058008E">
        <w:rPr>
          <w:rFonts w:ascii="Times New Roman" w:hAnsi="Times New Roman"/>
          <w:b w:val="0"/>
          <w:i w:val="0"/>
          <w:sz w:val="24"/>
        </w:rPr>
        <w:t xml:space="preserve"> %</w:t>
      </w:r>
      <w:r w:rsidR="00FC0CE3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482751" w:rsidRPr="0058008E">
        <w:rPr>
          <w:rFonts w:ascii="Times New Roman" w:hAnsi="Times New Roman"/>
          <w:b w:val="0"/>
          <w:i w:val="0"/>
          <w:sz w:val="24"/>
        </w:rPr>
        <w:t xml:space="preserve">(w roku </w:t>
      </w:r>
      <w:r w:rsidR="002E5197" w:rsidRPr="0058008E">
        <w:rPr>
          <w:rFonts w:ascii="Times New Roman" w:hAnsi="Times New Roman"/>
          <w:b w:val="0"/>
          <w:i w:val="0"/>
          <w:sz w:val="24"/>
        </w:rPr>
        <w:t>w 202</w:t>
      </w:r>
      <w:r w:rsidR="00CF4AAE" w:rsidRPr="0058008E">
        <w:rPr>
          <w:rFonts w:ascii="Times New Roman" w:hAnsi="Times New Roman"/>
          <w:b w:val="0"/>
          <w:i w:val="0"/>
          <w:sz w:val="24"/>
        </w:rPr>
        <w:t>3</w:t>
      </w:r>
      <w:r w:rsidR="002E5197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DD535B" w:rsidRPr="0058008E">
        <w:rPr>
          <w:rFonts w:ascii="Times New Roman" w:hAnsi="Times New Roman"/>
          <w:b w:val="0"/>
          <w:i w:val="0"/>
          <w:sz w:val="24"/>
        </w:rPr>
        <w:t>1</w:t>
      </w:r>
      <w:r w:rsidR="00CF4AAE" w:rsidRPr="0058008E">
        <w:rPr>
          <w:rFonts w:ascii="Times New Roman" w:hAnsi="Times New Roman"/>
          <w:b w:val="0"/>
          <w:i w:val="0"/>
          <w:sz w:val="24"/>
        </w:rPr>
        <w:t>5</w:t>
      </w:r>
      <w:r w:rsidR="00DD535B" w:rsidRPr="0058008E">
        <w:rPr>
          <w:rFonts w:ascii="Times New Roman" w:hAnsi="Times New Roman"/>
          <w:b w:val="0"/>
          <w:i w:val="0"/>
          <w:sz w:val="24"/>
        </w:rPr>
        <w:t>,</w:t>
      </w:r>
      <w:r w:rsidR="00CF4AAE" w:rsidRPr="0058008E">
        <w:rPr>
          <w:rFonts w:ascii="Times New Roman" w:hAnsi="Times New Roman"/>
          <w:b w:val="0"/>
          <w:i w:val="0"/>
          <w:sz w:val="24"/>
        </w:rPr>
        <w:t>77</w:t>
      </w:r>
      <w:r w:rsidR="002E5197" w:rsidRPr="0058008E">
        <w:rPr>
          <w:rFonts w:ascii="Times New Roman" w:hAnsi="Times New Roman"/>
          <w:b w:val="0"/>
          <w:i w:val="0"/>
          <w:sz w:val="24"/>
        </w:rPr>
        <w:t>%</w:t>
      </w:r>
      <w:r w:rsidR="00FC0CE3" w:rsidRPr="0058008E">
        <w:rPr>
          <w:rFonts w:ascii="Times New Roman" w:hAnsi="Times New Roman"/>
          <w:b w:val="0"/>
          <w:i w:val="0"/>
          <w:sz w:val="24"/>
        </w:rPr>
        <w:t>)</w:t>
      </w:r>
      <w:r w:rsidR="008B53FF" w:rsidRPr="0058008E">
        <w:rPr>
          <w:rFonts w:ascii="Times New Roman" w:hAnsi="Times New Roman"/>
          <w:b w:val="0"/>
          <w:i w:val="0"/>
          <w:sz w:val="24"/>
        </w:rPr>
        <w:t>.</w:t>
      </w:r>
      <w:r w:rsidR="008B53FF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8B53FF" w:rsidRPr="0058008E">
        <w:rPr>
          <w:rFonts w:ascii="Times New Roman" w:hAnsi="Times New Roman"/>
          <w:b w:val="0"/>
          <w:i w:val="0"/>
          <w:sz w:val="24"/>
        </w:rPr>
        <w:t>Ich realizacja wyniosła 10</w:t>
      </w:r>
      <w:r w:rsidR="00AE7D2D">
        <w:rPr>
          <w:rFonts w:ascii="Times New Roman" w:hAnsi="Times New Roman"/>
          <w:b w:val="0"/>
          <w:i w:val="0"/>
          <w:sz w:val="24"/>
        </w:rPr>
        <w:t>1</w:t>
      </w:r>
      <w:r w:rsidR="008B53FF" w:rsidRPr="0058008E">
        <w:rPr>
          <w:rFonts w:ascii="Times New Roman" w:hAnsi="Times New Roman"/>
          <w:b w:val="0"/>
          <w:i w:val="0"/>
          <w:sz w:val="24"/>
        </w:rPr>
        <w:t>,</w:t>
      </w:r>
      <w:r w:rsidR="00AE7D2D">
        <w:rPr>
          <w:rFonts w:ascii="Times New Roman" w:hAnsi="Times New Roman"/>
          <w:b w:val="0"/>
          <w:i w:val="0"/>
          <w:sz w:val="24"/>
        </w:rPr>
        <w:t>56</w:t>
      </w:r>
      <w:r w:rsidR="008B53FF" w:rsidRPr="0058008E">
        <w:rPr>
          <w:rFonts w:ascii="Times New Roman" w:hAnsi="Times New Roman"/>
          <w:b w:val="0"/>
          <w:i w:val="0"/>
          <w:sz w:val="24"/>
        </w:rPr>
        <w:t>%</w:t>
      </w:r>
      <w:r w:rsidR="003F1177" w:rsidRPr="0058008E">
        <w:rPr>
          <w:rFonts w:ascii="Times New Roman" w:hAnsi="Times New Roman"/>
          <w:b w:val="0"/>
          <w:i w:val="0"/>
          <w:sz w:val="24"/>
        </w:rPr>
        <w:t>.</w:t>
      </w:r>
      <w:r w:rsidR="008B53FF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176BD3C3" w14:textId="1F5DA21A" w:rsidR="00B348E7" w:rsidRPr="0058008E" w:rsidRDefault="006C0285" w:rsidP="00133AA9">
      <w:pPr>
        <w:pStyle w:val="Tekstpodstawowy2"/>
        <w:numPr>
          <w:ilvl w:val="0"/>
          <w:numId w:val="11"/>
        </w:numPr>
        <w:ind w:left="283" w:hanging="283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usług</w:t>
      </w:r>
      <w:r w:rsidR="00076D6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975BC" w:rsidRPr="0058008E">
        <w:rPr>
          <w:rFonts w:ascii="Times New Roman" w:hAnsi="Times New Roman"/>
          <w:b w:val="0"/>
          <w:i w:val="0"/>
          <w:sz w:val="24"/>
        </w:rPr>
        <w:t xml:space="preserve">świadczonych przez </w:t>
      </w:r>
      <w:r w:rsidR="00076D66" w:rsidRPr="0058008E">
        <w:rPr>
          <w:rFonts w:ascii="Times New Roman" w:hAnsi="Times New Roman"/>
          <w:b w:val="0"/>
          <w:i w:val="0"/>
          <w:sz w:val="24"/>
        </w:rPr>
        <w:t>jednostki</w:t>
      </w:r>
      <w:r w:rsidR="00C663A5" w:rsidRPr="0058008E">
        <w:rPr>
          <w:rFonts w:ascii="Times New Roman" w:hAnsi="Times New Roman"/>
          <w:b w:val="0"/>
          <w:i w:val="0"/>
          <w:sz w:val="24"/>
        </w:rPr>
        <w:t xml:space="preserve"> miejskie </w:t>
      </w:r>
      <w:r w:rsidR="003502E3" w:rsidRPr="0058008E">
        <w:rPr>
          <w:rFonts w:ascii="Times New Roman" w:hAnsi="Times New Roman"/>
          <w:b w:val="0"/>
          <w:i w:val="0"/>
          <w:sz w:val="24"/>
        </w:rPr>
        <w:t xml:space="preserve">– </w:t>
      </w:r>
      <w:r w:rsidR="00C234F5" w:rsidRPr="0058008E">
        <w:rPr>
          <w:rFonts w:ascii="Times New Roman" w:hAnsi="Times New Roman"/>
          <w:b w:val="0"/>
          <w:i w:val="0"/>
          <w:sz w:val="24"/>
          <w:u w:val="single"/>
        </w:rPr>
        <w:t>1</w:t>
      </w:r>
      <w:r w:rsidR="00B10D67" w:rsidRPr="0058008E">
        <w:rPr>
          <w:rFonts w:ascii="Times New Roman" w:hAnsi="Times New Roman"/>
          <w:b w:val="0"/>
          <w:i w:val="0"/>
          <w:sz w:val="24"/>
          <w:u w:val="single"/>
        </w:rPr>
        <w:t>9</w:t>
      </w:r>
      <w:r w:rsidR="00C234F5" w:rsidRPr="0058008E">
        <w:rPr>
          <w:rFonts w:ascii="Times New Roman" w:hAnsi="Times New Roman"/>
          <w:b w:val="0"/>
          <w:i w:val="0"/>
          <w:sz w:val="24"/>
          <w:u w:val="single"/>
        </w:rPr>
        <w:t>,</w:t>
      </w:r>
      <w:r w:rsidR="00B10D67" w:rsidRPr="0058008E">
        <w:rPr>
          <w:rFonts w:ascii="Times New Roman" w:hAnsi="Times New Roman"/>
          <w:b w:val="0"/>
          <w:i w:val="0"/>
          <w:sz w:val="24"/>
          <w:u w:val="single"/>
        </w:rPr>
        <w:t>3</w:t>
      </w:r>
      <w:r w:rsidR="003502E3" w:rsidRPr="0058008E">
        <w:rPr>
          <w:rFonts w:ascii="Times New Roman" w:hAnsi="Times New Roman"/>
          <w:b w:val="0"/>
          <w:i w:val="0"/>
          <w:sz w:val="24"/>
          <w:u w:val="single"/>
        </w:rPr>
        <w:t xml:space="preserve"> mln zł</w:t>
      </w:r>
      <w:r w:rsidR="002A0560" w:rsidRPr="0058008E">
        <w:rPr>
          <w:rStyle w:val="Odwoanieprzypisudolnego"/>
          <w:rFonts w:ascii="Times New Roman" w:hAnsi="Times New Roman"/>
          <w:b w:val="0"/>
          <w:i w:val="0"/>
          <w:sz w:val="24"/>
          <w:u w:val="single"/>
        </w:rPr>
        <w:footnoteReference w:id="6"/>
      </w:r>
      <w:r w:rsidR="00363F26" w:rsidRPr="0058008E">
        <w:rPr>
          <w:rFonts w:ascii="Times New Roman" w:hAnsi="Times New Roman"/>
          <w:b w:val="0"/>
          <w:i w:val="0"/>
          <w:sz w:val="24"/>
        </w:rPr>
        <w:t xml:space="preserve">; </w:t>
      </w:r>
      <w:r w:rsidR="00D515E2" w:rsidRPr="0058008E">
        <w:rPr>
          <w:rFonts w:ascii="Times New Roman" w:hAnsi="Times New Roman"/>
          <w:b w:val="0"/>
          <w:i w:val="0"/>
          <w:sz w:val="24"/>
        </w:rPr>
        <w:t>b</w:t>
      </w:r>
      <w:r w:rsidR="00C11C5A" w:rsidRPr="0058008E">
        <w:rPr>
          <w:rFonts w:ascii="Times New Roman" w:hAnsi="Times New Roman"/>
          <w:b w:val="0"/>
          <w:i w:val="0"/>
          <w:sz w:val="24"/>
        </w:rPr>
        <w:t>yły to</w:t>
      </w:r>
      <w:r w:rsidR="003502E3" w:rsidRPr="0058008E">
        <w:rPr>
          <w:rFonts w:ascii="Times New Roman" w:hAnsi="Times New Roman"/>
          <w:b w:val="0"/>
          <w:i w:val="0"/>
          <w:sz w:val="24"/>
        </w:rPr>
        <w:t xml:space="preserve"> opłaty</w:t>
      </w:r>
      <w:r w:rsidR="00B348E7" w:rsidRPr="0058008E">
        <w:rPr>
          <w:rFonts w:ascii="Times New Roman" w:hAnsi="Times New Roman"/>
          <w:b w:val="0"/>
          <w:i w:val="0"/>
          <w:sz w:val="24"/>
        </w:rPr>
        <w:t>:</w:t>
      </w:r>
    </w:p>
    <w:p w14:paraId="1EA7AF91" w14:textId="58ED1148" w:rsidR="00B348E7" w:rsidRPr="0058008E" w:rsidRDefault="00BF0BBA" w:rsidP="00D4744D">
      <w:pPr>
        <w:pStyle w:val="Tekstpodstawowy2"/>
        <w:numPr>
          <w:ilvl w:val="1"/>
          <w:numId w:val="11"/>
        </w:numPr>
        <w:ind w:left="709" w:hanging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za pobyt </w:t>
      </w:r>
      <w:r w:rsidR="00C11C5A" w:rsidRPr="0058008E">
        <w:rPr>
          <w:rFonts w:ascii="Times New Roman" w:hAnsi="Times New Roman"/>
          <w:b w:val="0"/>
          <w:i w:val="0"/>
          <w:sz w:val="24"/>
        </w:rPr>
        <w:t>dz</w:t>
      </w:r>
      <w:r w:rsidR="00BA1554" w:rsidRPr="0058008E">
        <w:rPr>
          <w:rFonts w:ascii="Times New Roman" w:hAnsi="Times New Roman"/>
          <w:b w:val="0"/>
          <w:i w:val="0"/>
          <w:sz w:val="24"/>
        </w:rPr>
        <w:t>ieci przedszkolach i</w:t>
      </w:r>
      <w:r w:rsidR="006323BA" w:rsidRPr="0058008E">
        <w:rPr>
          <w:rFonts w:ascii="Times New Roman" w:hAnsi="Times New Roman"/>
          <w:b w:val="0"/>
          <w:i w:val="0"/>
          <w:sz w:val="24"/>
        </w:rPr>
        <w:t xml:space="preserve"> w</w:t>
      </w:r>
      <w:r w:rsidR="00BA1554" w:rsidRPr="0058008E">
        <w:rPr>
          <w:rFonts w:ascii="Times New Roman" w:hAnsi="Times New Roman"/>
          <w:b w:val="0"/>
          <w:i w:val="0"/>
          <w:sz w:val="24"/>
        </w:rPr>
        <w:t xml:space="preserve"> żłobku (</w:t>
      </w:r>
      <w:r w:rsidR="00C234F5" w:rsidRPr="0058008E">
        <w:rPr>
          <w:rFonts w:ascii="Times New Roman" w:hAnsi="Times New Roman"/>
          <w:b w:val="0"/>
          <w:i w:val="0"/>
          <w:sz w:val="24"/>
        </w:rPr>
        <w:t>1</w:t>
      </w:r>
      <w:r w:rsidR="00BA1554" w:rsidRPr="0058008E">
        <w:rPr>
          <w:rFonts w:ascii="Times New Roman" w:hAnsi="Times New Roman"/>
          <w:b w:val="0"/>
          <w:i w:val="0"/>
          <w:sz w:val="24"/>
        </w:rPr>
        <w:t>,</w:t>
      </w:r>
      <w:r w:rsidR="00E61C98" w:rsidRPr="0058008E">
        <w:rPr>
          <w:rFonts w:ascii="Times New Roman" w:hAnsi="Times New Roman"/>
          <w:b w:val="0"/>
          <w:i w:val="0"/>
          <w:sz w:val="24"/>
        </w:rPr>
        <w:t>6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zł), </w:t>
      </w:r>
    </w:p>
    <w:p w14:paraId="22070B58" w14:textId="4C6BA7A9" w:rsidR="00B348E7" w:rsidRPr="0058008E" w:rsidRDefault="00BF0BBA" w:rsidP="007E77AC">
      <w:pPr>
        <w:pStyle w:val="Tekstpodstawowy2"/>
        <w:numPr>
          <w:ilvl w:val="1"/>
          <w:numId w:val="11"/>
        </w:numPr>
        <w:ind w:left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za</w:t>
      </w:r>
      <w:r w:rsidR="006D023E" w:rsidRPr="0058008E">
        <w:rPr>
          <w:rFonts w:ascii="Times New Roman" w:hAnsi="Times New Roman"/>
          <w:b w:val="0"/>
          <w:i w:val="0"/>
          <w:sz w:val="24"/>
        </w:rPr>
        <w:t xml:space="preserve"> pobyt pensjonariuszy w D</w:t>
      </w:r>
      <w:r w:rsidR="00AC5B76" w:rsidRPr="0058008E">
        <w:rPr>
          <w:rFonts w:ascii="Times New Roman" w:hAnsi="Times New Roman"/>
          <w:b w:val="0"/>
          <w:i w:val="0"/>
          <w:sz w:val="24"/>
        </w:rPr>
        <w:t>omu</w:t>
      </w:r>
      <w:r w:rsidR="008D7E3F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D023E" w:rsidRPr="0058008E">
        <w:rPr>
          <w:rFonts w:ascii="Times New Roman" w:hAnsi="Times New Roman"/>
          <w:b w:val="0"/>
          <w:i w:val="0"/>
          <w:sz w:val="24"/>
        </w:rPr>
        <w:t>P</w:t>
      </w:r>
      <w:r w:rsidR="00AC5B76" w:rsidRPr="0058008E">
        <w:rPr>
          <w:rFonts w:ascii="Times New Roman" w:hAnsi="Times New Roman"/>
          <w:b w:val="0"/>
          <w:i w:val="0"/>
          <w:sz w:val="24"/>
        </w:rPr>
        <w:t xml:space="preserve">omocy </w:t>
      </w:r>
      <w:r w:rsidR="00C724F7" w:rsidRPr="0058008E">
        <w:rPr>
          <w:rFonts w:ascii="Times New Roman" w:hAnsi="Times New Roman"/>
          <w:b w:val="0"/>
          <w:i w:val="0"/>
          <w:sz w:val="24"/>
        </w:rPr>
        <w:t>Społecznej (</w:t>
      </w:r>
      <w:r w:rsidR="00B76D9E" w:rsidRPr="0058008E">
        <w:rPr>
          <w:rFonts w:ascii="Times New Roman" w:hAnsi="Times New Roman"/>
          <w:b w:val="0"/>
          <w:i w:val="0"/>
          <w:sz w:val="24"/>
        </w:rPr>
        <w:t>2,</w:t>
      </w:r>
      <w:r w:rsidR="00E61C98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zł), </w:t>
      </w:r>
    </w:p>
    <w:p w14:paraId="034AF541" w14:textId="26A0B0BB" w:rsidR="00B348E7" w:rsidRPr="0058008E" w:rsidRDefault="00BF0BBA" w:rsidP="00D4744D">
      <w:pPr>
        <w:pStyle w:val="Tekstpodstawowy2"/>
        <w:numPr>
          <w:ilvl w:val="1"/>
          <w:numId w:val="11"/>
        </w:numPr>
        <w:ind w:left="709" w:hanging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lastRenderedPageBreak/>
        <w:t>za świadczone usługi opiekuńcze</w:t>
      </w:r>
      <w:r w:rsidR="00B348E7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82751" w:rsidRPr="0058008E">
        <w:rPr>
          <w:rFonts w:ascii="Times New Roman" w:hAnsi="Times New Roman"/>
          <w:b w:val="0"/>
          <w:i w:val="0"/>
          <w:sz w:val="24"/>
        </w:rPr>
        <w:t>(</w:t>
      </w:r>
      <w:r w:rsidR="00B76D9E" w:rsidRPr="0058008E">
        <w:rPr>
          <w:rFonts w:ascii="Times New Roman" w:hAnsi="Times New Roman"/>
          <w:b w:val="0"/>
          <w:i w:val="0"/>
          <w:sz w:val="24"/>
        </w:rPr>
        <w:t>1,</w:t>
      </w:r>
      <w:r w:rsidR="00E61C98" w:rsidRPr="0058008E">
        <w:rPr>
          <w:rFonts w:ascii="Times New Roman" w:hAnsi="Times New Roman"/>
          <w:b w:val="0"/>
          <w:i w:val="0"/>
          <w:sz w:val="24"/>
        </w:rPr>
        <w:t>0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zł), </w:t>
      </w:r>
    </w:p>
    <w:p w14:paraId="6DAF809F" w14:textId="6E812112" w:rsidR="00276E4C" w:rsidRPr="0058008E" w:rsidRDefault="00BF0BBA" w:rsidP="00D4744D">
      <w:pPr>
        <w:pStyle w:val="Tekstpodstawowy2"/>
        <w:numPr>
          <w:ilvl w:val="1"/>
          <w:numId w:val="11"/>
        </w:numPr>
        <w:ind w:left="709" w:hanging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za korzystanie z pływalni </w:t>
      </w:r>
      <w:r w:rsidR="00CE4B4F" w:rsidRPr="0058008E">
        <w:rPr>
          <w:rFonts w:ascii="Times New Roman" w:hAnsi="Times New Roman"/>
          <w:b w:val="0"/>
          <w:i w:val="0"/>
          <w:sz w:val="24"/>
        </w:rPr>
        <w:t xml:space="preserve">miejskiej </w:t>
      </w:r>
      <w:r w:rsidR="00185493" w:rsidRPr="0058008E">
        <w:rPr>
          <w:rFonts w:ascii="Times New Roman" w:hAnsi="Times New Roman"/>
          <w:b w:val="0"/>
          <w:i w:val="0"/>
          <w:sz w:val="24"/>
        </w:rPr>
        <w:t>i kąpieliska</w:t>
      </w:r>
      <w:r w:rsidR="00C234F5" w:rsidRPr="0058008E">
        <w:rPr>
          <w:rFonts w:ascii="Times New Roman" w:hAnsi="Times New Roman"/>
          <w:b w:val="0"/>
          <w:i w:val="0"/>
          <w:sz w:val="24"/>
        </w:rPr>
        <w:t xml:space="preserve"> oraz molo (11,</w:t>
      </w:r>
      <w:r w:rsidR="00E61C98" w:rsidRPr="0058008E">
        <w:rPr>
          <w:rFonts w:ascii="Times New Roman" w:hAnsi="Times New Roman"/>
          <w:b w:val="0"/>
          <w:i w:val="0"/>
          <w:sz w:val="24"/>
        </w:rPr>
        <w:t>3</w:t>
      </w:r>
      <w:r w:rsidR="00C234F5" w:rsidRPr="0058008E">
        <w:rPr>
          <w:rFonts w:ascii="Times New Roman" w:hAnsi="Times New Roman"/>
          <w:b w:val="0"/>
          <w:i w:val="0"/>
          <w:sz w:val="24"/>
        </w:rPr>
        <w:t xml:space="preserve"> mln zł),</w:t>
      </w:r>
    </w:p>
    <w:p w14:paraId="00E654F2" w14:textId="6A803273" w:rsidR="006D023E" w:rsidRPr="0058008E" w:rsidRDefault="003502E3" w:rsidP="00D4744D">
      <w:pPr>
        <w:pStyle w:val="Tekstpodstawowy2"/>
        <w:numPr>
          <w:ilvl w:val="1"/>
          <w:numId w:val="11"/>
        </w:numPr>
        <w:ind w:left="709" w:hanging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za</w:t>
      </w:r>
      <w:r w:rsidR="00BF0BBA" w:rsidRPr="0058008E">
        <w:rPr>
          <w:rFonts w:ascii="Times New Roman" w:hAnsi="Times New Roman"/>
          <w:b w:val="0"/>
          <w:i w:val="0"/>
          <w:sz w:val="24"/>
        </w:rPr>
        <w:t xml:space="preserve"> usługi pogrzebowe</w:t>
      </w:r>
      <w:r w:rsidR="00482751" w:rsidRPr="0058008E">
        <w:rPr>
          <w:rFonts w:ascii="Times New Roman" w:hAnsi="Times New Roman"/>
          <w:b w:val="0"/>
          <w:i w:val="0"/>
          <w:sz w:val="24"/>
        </w:rPr>
        <w:t xml:space="preserve"> (</w:t>
      </w:r>
      <w:r w:rsidR="00E61C98" w:rsidRPr="0058008E">
        <w:rPr>
          <w:rFonts w:ascii="Times New Roman" w:hAnsi="Times New Roman"/>
          <w:b w:val="0"/>
          <w:i w:val="0"/>
          <w:sz w:val="24"/>
        </w:rPr>
        <w:t>1,9</w:t>
      </w:r>
      <w:r w:rsidR="004D4734" w:rsidRPr="0058008E">
        <w:rPr>
          <w:rFonts w:ascii="Times New Roman" w:hAnsi="Times New Roman"/>
          <w:b w:val="0"/>
          <w:i w:val="0"/>
          <w:sz w:val="24"/>
        </w:rPr>
        <w:t xml:space="preserve"> ml</w:t>
      </w:r>
      <w:r w:rsidR="00B04888" w:rsidRPr="0058008E">
        <w:rPr>
          <w:rFonts w:ascii="Times New Roman" w:hAnsi="Times New Roman"/>
          <w:b w:val="0"/>
          <w:i w:val="0"/>
          <w:sz w:val="24"/>
        </w:rPr>
        <w:t>n</w:t>
      </w:r>
      <w:r w:rsidR="004D4734" w:rsidRPr="0058008E">
        <w:rPr>
          <w:rFonts w:ascii="Times New Roman" w:hAnsi="Times New Roman"/>
          <w:b w:val="0"/>
          <w:i w:val="0"/>
          <w:sz w:val="24"/>
        </w:rPr>
        <w:t xml:space="preserve"> zł)</w:t>
      </w:r>
      <w:r w:rsidR="00BF0BBA" w:rsidRPr="0058008E">
        <w:rPr>
          <w:rFonts w:ascii="Times New Roman" w:hAnsi="Times New Roman"/>
          <w:b w:val="0"/>
          <w:i w:val="0"/>
          <w:sz w:val="24"/>
        </w:rPr>
        <w:t>,</w:t>
      </w:r>
    </w:p>
    <w:p w14:paraId="6C40F209" w14:textId="7E9C1FF3" w:rsidR="00B04888" w:rsidRPr="0058008E" w:rsidRDefault="00B04888" w:rsidP="00D4744D">
      <w:pPr>
        <w:pStyle w:val="Tekstpodstawowy2"/>
        <w:numPr>
          <w:ilvl w:val="1"/>
          <w:numId w:val="11"/>
        </w:numPr>
        <w:ind w:left="709" w:hanging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pozostałe (</w:t>
      </w:r>
      <w:r w:rsidR="00E61C98" w:rsidRPr="0058008E">
        <w:rPr>
          <w:rFonts w:ascii="Times New Roman" w:hAnsi="Times New Roman"/>
          <w:b w:val="0"/>
          <w:i w:val="0"/>
          <w:sz w:val="24"/>
        </w:rPr>
        <w:t>1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zł)</w:t>
      </w:r>
    </w:p>
    <w:p w14:paraId="6C725BE2" w14:textId="40401659" w:rsidR="00AA3868" w:rsidRPr="0058008E" w:rsidRDefault="00E61C98" w:rsidP="00AA3868">
      <w:pPr>
        <w:pStyle w:val="Tekstpodstawowy2"/>
        <w:ind w:left="283" w:hanging="283"/>
        <w:jc w:val="both"/>
        <w:rPr>
          <w:rFonts w:ascii="Times New Roman" w:hAnsi="Times New Roman"/>
          <w:b w:val="0"/>
          <w:i w:val="0"/>
          <w:sz w:val="24"/>
          <w:u w:val="single"/>
        </w:rPr>
      </w:pPr>
      <w:r w:rsidRPr="0058008E">
        <w:rPr>
          <w:rFonts w:ascii="Times New Roman" w:hAnsi="Times New Roman"/>
          <w:b w:val="0"/>
          <w:i w:val="0"/>
          <w:sz w:val="24"/>
        </w:rPr>
        <w:t>7</w:t>
      </w:r>
      <w:r w:rsidR="00CE4B4F" w:rsidRPr="0058008E">
        <w:rPr>
          <w:rFonts w:ascii="Times New Roman" w:hAnsi="Times New Roman"/>
          <w:b w:val="0"/>
          <w:i w:val="0"/>
          <w:sz w:val="24"/>
        </w:rPr>
        <w:t>.</w:t>
      </w:r>
      <w:r w:rsidR="007F7FF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F364A" w:rsidRPr="0058008E">
        <w:rPr>
          <w:rFonts w:ascii="Times New Roman" w:hAnsi="Times New Roman"/>
          <w:b w:val="0"/>
          <w:i w:val="0"/>
          <w:sz w:val="24"/>
        </w:rPr>
        <w:t xml:space="preserve">realizacji zadań zleconych – </w:t>
      </w:r>
      <w:r w:rsidR="00130E77" w:rsidRPr="0058008E">
        <w:rPr>
          <w:rFonts w:ascii="Times New Roman" w:hAnsi="Times New Roman"/>
          <w:b w:val="0"/>
          <w:i w:val="0"/>
          <w:sz w:val="24"/>
          <w:u w:val="single"/>
        </w:rPr>
        <w:t>2</w:t>
      </w:r>
      <w:r w:rsidRPr="0058008E">
        <w:rPr>
          <w:rFonts w:ascii="Times New Roman" w:hAnsi="Times New Roman"/>
          <w:b w:val="0"/>
          <w:i w:val="0"/>
          <w:sz w:val="24"/>
          <w:u w:val="single"/>
        </w:rPr>
        <w:t>9</w:t>
      </w:r>
      <w:r w:rsidR="00130E77" w:rsidRPr="0058008E">
        <w:rPr>
          <w:rFonts w:ascii="Times New Roman" w:hAnsi="Times New Roman"/>
          <w:b w:val="0"/>
          <w:i w:val="0"/>
          <w:sz w:val="24"/>
          <w:u w:val="single"/>
        </w:rPr>
        <w:t>,</w:t>
      </w:r>
      <w:r w:rsidRPr="0058008E">
        <w:rPr>
          <w:rFonts w:ascii="Times New Roman" w:hAnsi="Times New Roman"/>
          <w:b w:val="0"/>
          <w:i w:val="0"/>
          <w:sz w:val="24"/>
          <w:u w:val="single"/>
        </w:rPr>
        <w:t>0</w:t>
      </w:r>
      <w:r w:rsidR="00EF364A" w:rsidRPr="0058008E">
        <w:rPr>
          <w:rFonts w:ascii="Times New Roman" w:hAnsi="Times New Roman"/>
          <w:b w:val="0"/>
          <w:i w:val="0"/>
          <w:sz w:val="24"/>
          <w:u w:val="single"/>
        </w:rPr>
        <w:t xml:space="preserve"> mln zł</w:t>
      </w:r>
      <w:r w:rsidR="00CE4B4F" w:rsidRPr="0058008E">
        <w:rPr>
          <w:rFonts w:ascii="Times New Roman" w:hAnsi="Times New Roman"/>
          <w:b w:val="0"/>
          <w:i w:val="0"/>
          <w:sz w:val="24"/>
          <w:u w:val="single"/>
        </w:rPr>
        <w:t>,</w:t>
      </w:r>
    </w:p>
    <w:p w14:paraId="7A3BE6BF" w14:textId="5A43F0A0" w:rsidR="003502E3" w:rsidRPr="0058008E" w:rsidRDefault="00E61C98" w:rsidP="00AA3868">
      <w:pPr>
        <w:pStyle w:val="Tekstpodstawowy2"/>
        <w:ind w:left="283" w:hanging="283"/>
        <w:jc w:val="both"/>
        <w:rPr>
          <w:rFonts w:ascii="Times New Roman" w:hAnsi="Times New Roman"/>
          <w:b w:val="0"/>
          <w:i w:val="0"/>
          <w:sz w:val="24"/>
          <w:u w:val="single"/>
        </w:rPr>
      </w:pPr>
      <w:r w:rsidRPr="0058008E">
        <w:rPr>
          <w:rFonts w:ascii="Times New Roman" w:hAnsi="Times New Roman"/>
          <w:b w:val="0"/>
          <w:i w:val="0"/>
          <w:sz w:val="24"/>
        </w:rPr>
        <w:t>8</w:t>
      </w:r>
      <w:r w:rsidR="007F7FF1" w:rsidRPr="0058008E">
        <w:rPr>
          <w:rFonts w:ascii="Times New Roman" w:hAnsi="Times New Roman"/>
          <w:b w:val="0"/>
          <w:i w:val="0"/>
          <w:sz w:val="24"/>
        </w:rPr>
        <w:t>.</w:t>
      </w:r>
      <w:r w:rsidR="00D515E2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3502E3" w:rsidRPr="0058008E">
        <w:rPr>
          <w:rFonts w:ascii="Times New Roman" w:hAnsi="Times New Roman"/>
          <w:b w:val="0"/>
          <w:i w:val="0"/>
          <w:sz w:val="24"/>
        </w:rPr>
        <w:t>tzw.</w:t>
      </w:r>
      <w:r w:rsidR="00D515E2" w:rsidRPr="0058008E">
        <w:rPr>
          <w:rFonts w:ascii="Times New Roman" w:hAnsi="Times New Roman"/>
          <w:b w:val="0"/>
          <w:i w:val="0"/>
          <w:sz w:val="24"/>
        </w:rPr>
        <w:t xml:space="preserve"> różnych dochodów, których poziom </w:t>
      </w:r>
      <w:r w:rsidR="009A0093" w:rsidRPr="0058008E">
        <w:rPr>
          <w:rFonts w:ascii="Times New Roman" w:hAnsi="Times New Roman"/>
          <w:b w:val="0"/>
          <w:i w:val="0"/>
          <w:sz w:val="24"/>
        </w:rPr>
        <w:t>wyniósł</w:t>
      </w:r>
      <w:r w:rsidR="00276E4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AA3868" w:rsidRPr="0058008E">
        <w:rPr>
          <w:rFonts w:ascii="Times New Roman" w:hAnsi="Times New Roman"/>
          <w:b w:val="0"/>
          <w:i w:val="0"/>
          <w:sz w:val="24"/>
        </w:rPr>
        <w:t>–</w:t>
      </w:r>
      <w:r w:rsidR="004975B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D684F" w:rsidRPr="0058008E">
        <w:rPr>
          <w:rFonts w:ascii="Times New Roman" w:hAnsi="Times New Roman"/>
          <w:b w:val="0"/>
          <w:i w:val="0"/>
          <w:sz w:val="24"/>
          <w:u w:val="single"/>
        </w:rPr>
        <w:t>30,8</w:t>
      </w:r>
      <w:r w:rsidR="009A0093" w:rsidRPr="0058008E">
        <w:rPr>
          <w:rFonts w:ascii="Times New Roman" w:hAnsi="Times New Roman"/>
          <w:b w:val="0"/>
          <w:i w:val="0"/>
          <w:sz w:val="24"/>
          <w:u w:val="single"/>
        </w:rPr>
        <w:t xml:space="preserve"> mln zł.</w:t>
      </w:r>
      <w:r w:rsidR="009A0093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6710165C" w14:textId="5B9AB4B8" w:rsidR="000D3646" w:rsidRPr="0058008E" w:rsidRDefault="009A0093" w:rsidP="00D4744D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Były to przede wszystk</w:t>
      </w:r>
      <w:r w:rsidR="00B94395" w:rsidRPr="0058008E">
        <w:rPr>
          <w:rFonts w:ascii="Times New Roman" w:hAnsi="Times New Roman"/>
          <w:b w:val="0"/>
          <w:i w:val="0"/>
          <w:sz w:val="24"/>
        </w:rPr>
        <w:t>i</w:t>
      </w:r>
      <w:r w:rsidR="000A1F49" w:rsidRPr="0058008E">
        <w:rPr>
          <w:rFonts w:ascii="Times New Roman" w:hAnsi="Times New Roman"/>
          <w:b w:val="0"/>
          <w:i w:val="0"/>
          <w:sz w:val="24"/>
        </w:rPr>
        <w:t>m</w:t>
      </w:r>
      <w:r w:rsidR="00B9439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276E4C" w:rsidRPr="0058008E">
        <w:rPr>
          <w:rFonts w:ascii="Times New Roman" w:hAnsi="Times New Roman"/>
          <w:b w:val="0"/>
          <w:i w:val="0"/>
          <w:sz w:val="24"/>
        </w:rPr>
        <w:t>p</w:t>
      </w:r>
      <w:r w:rsidR="00B348E7" w:rsidRPr="0058008E">
        <w:rPr>
          <w:rFonts w:ascii="Times New Roman" w:hAnsi="Times New Roman"/>
          <w:b w:val="0"/>
          <w:i w:val="0"/>
          <w:sz w:val="24"/>
        </w:rPr>
        <w:t>ozostałe dochody pochodz</w:t>
      </w:r>
      <w:r w:rsidR="003502E3" w:rsidRPr="0058008E">
        <w:rPr>
          <w:rFonts w:ascii="Times New Roman" w:hAnsi="Times New Roman"/>
          <w:b w:val="0"/>
          <w:i w:val="0"/>
          <w:sz w:val="24"/>
        </w:rPr>
        <w:t>ące</w:t>
      </w:r>
      <w:r w:rsidR="004E0945" w:rsidRPr="0058008E">
        <w:rPr>
          <w:rFonts w:ascii="Times New Roman" w:hAnsi="Times New Roman"/>
          <w:b w:val="0"/>
          <w:i w:val="0"/>
          <w:sz w:val="24"/>
        </w:rPr>
        <w:t xml:space="preserve"> m.in.</w:t>
      </w:r>
      <w:r w:rsidR="00B348E7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A50F4" w:rsidRPr="0058008E">
        <w:rPr>
          <w:rFonts w:ascii="Times New Roman" w:hAnsi="Times New Roman"/>
          <w:b w:val="0"/>
          <w:i w:val="0"/>
          <w:sz w:val="24"/>
        </w:rPr>
        <w:t>z: dofinansowania</w:t>
      </w:r>
      <w:r w:rsidR="0097274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A2534A" w:rsidRPr="0058008E">
        <w:rPr>
          <w:rFonts w:ascii="Times New Roman" w:hAnsi="Times New Roman"/>
          <w:b w:val="0"/>
          <w:i w:val="0"/>
          <w:sz w:val="24"/>
        </w:rPr>
        <w:br/>
      </w:r>
      <w:r w:rsidR="006D684F" w:rsidRPr="0058008E">
        <w:rPr>
          <w:rFonts w:ascii="Times New Roman" w:hAnsi="Times New Roman"/>
          <w:b w:val="0"/>
          <w:i w:val="0"/>
          <w:sz w:val="24"/>
        </w:rPr>
        <w:t xml:space="preserve">inwestycji własnych </w:t>
      </w:r>
      <w:r w:rsidR="006D684F" w:rsidRPr="0058008E">
        <w:rPr>
          <w:rFonts w:ascii="Times New Roman" w:hAnsi="Times New Roman"/>
          <w:b w:val="0"/>
          <w:bCs/>
          <w:i w:val="0"/>
          <w:iCs/>
          <w:sz w:val="24"/>
          <w:szCs w:val="24"/>
          <w:shd w:val="clear" w:color="auto" w:fill="FFFFFF"/>
        </w:rPr>
        <w:t>gmin, powiatów, związków jednostek samorządu terytorialnego oraz samorządów województw, pozyskane z innych źródeł</w:t>
      </w:r>
      <w:r w:rsidR="006D684F" w:rsidRPr="0058008E">
        <w:rPr>
          <w:rFonts w:ascii="Times New Roman" w:hAnsi="Times New Roman"/>
          <w:b w:val="0"/>
          <w:i w:val="0"/>
          <w:sz w:val="24"/>
        </w:rPr>
        <w:t xml:space="preserve"> (</w:t>
      </w:r>
      <w:r w:rsidR="00130E77" w:rsidRPr="0058008E">
        <w:rPr>
          <w:rFonts w:ascii="Times New Roman" w:hAnsi="Times New Roman"/>
          <w:b w:val="0"/>
          <w:i w:val="0"/>
          <w:sz w:val="24"/>
        </w:rPr>
        <w:t>2</w:t>
      </w:r>
      <w:r w:rsidR="006D684F" w:rsidRPr="0058008E">
        <w:rPr>
          <w:rFonts w:ascii="Times New Roman" w:hAnsi="Times New Roman"/>
          <w:b w:val="0"/>
          <w:i w:val="0"/>
          <w:sz w:val="24"/>
        </w:rPr>
        <w:t>3</w:t>
      </w:r>
      <w:r w:rsidR="004F583F" w:rsidRPr="0058008E">
        <w:rPr>
          <w:rFonts w:ascii="Times New Roman" w:hAnsi="Times New Roman"/>
          <w:b w:val="0"/>
          <w:i w:val="0"/>
          <w:sz w:val="24"/>
        </w:rPr>
        <w:t>,</w:t>
      </w:r>
      <w:r w:rsidR="006D684F" w:rsidRPr="0058008E">
        <w:rPr>
          <w:rFonts w:ascii="Times New Roman" w:hAnsi="Times New Roman"/>
          <w:b w:val="0"/>
          <w:i w:val="0"/>
          <w:sz w:val="24"/>
        </w:rPr>
        <w:t>8</w:t>
      </w:r>
      <w:r w:rsidR="00B359CE" w:rsidRPr="0058008E">
        <w:rPr>
          <w:rFonts w:ascii="Times New Roman" w:hAnsi="Times New Roman"/>
          <w:b w:val="0"/>
          <w:i w:val="0"/>
          <w:sz w:val="24"/>
        </w:rPr>
        <w:t xml:space="preserve"> mln zł)</w:t>
      </w:r>
      <w:r w:rsidR="005364C2" w:rsidRPr="0058008E">
        <w:rPr>
          <w:rFonts w:ascii="Times New Roman" w:hAnsi="Times New Roman"/>
          <w:b w:val="0"/>
          <w:i w:val="0"/>
          <w:sz w:val="24"/>
        </w:rPr>
        <w:t>,</w:t>
      </w:r>
      <w:r w:rsidR="003F774D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3F774D" w:rsidRPr="0058008E">
        <w:rPr>
          <w:rFonts w:ascii="Times New Roman" w:hAnsi="Times New Roman"/>
          <w:b w:val="0"/>
          <w:i w:val="0"/>
          <w:sz w:val="24"/>
        </w:rPr>
        <w:t>Fundusz Pomocy Ukrainie (</w:t>
      </w:r>
      <w:r w:rsidR="00E61C98" w:rsidRPr="0058008E">
        <w:rPr>
          <w:rFonts w:ascii="Times New Roman" w:hAnsi="Times New Roman"/>
          <w:b w:val="0"/>
          <w:i w:val="0"/>
          <w:sz w:val="24"/>
        </w:rPr>
        <w:t>7,0</w:t>
      </w:r>
      <w:r w:rsidR="003F774D" w:rsidRPr="0058008E">
        <w:rPr>
          <w:rFonts w:ascii="Times New Roman" w:hAnsi="Times New Roman"/>
          <w:b w:val="0"/>
          <w:i w:val="0"/>
          <w:sz w:val="24"/>
        </w:rPr>
        <w:t xml:space="preserve"> mln),</w:t>
      </w:r>
    </w:p>
    <w:p w14:paraId="6F36B3B1" w14:textId="5458E70F" w:rsidR="004E0945" w:rsidRPr="0058008E" w:rsidRDefault="00E61C98" w:rsidP="00AA3868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9</w:t>
      </w:r>
      <w:r w:rsidR="00AA3868" w:rsidRPr="0058008E">
        <w:rPr>
          <w:rFonts w:ascii="Times New Roman" w:hAnsi="Times New Roman"/>
          <w:b w:val="0"/>
          <w:i w:val="0"/>
          <w:sz w:val="24"/>
          <w:szCs w:val="24"/>
        </w:rPr>
        <w:t>. środ</w:t>
      </w:r>
      <w:r w:rsidR="000A1F49" w:rsidRPr="0058008E">
        <w:rPr>
          <w:rFonts w:ascii="Times New Roman" w:hAnsi="Times New Roman"/>
          <w:b w:val="0"/>
          <w:i w:val="0"/>
          <w:sz w:val="24"/>
          <w:szCs w:val="24"/>
        </w:rPr>
        <w:t>ków</w:t>
      </w:r>
      <w:r w:rsidR="00AA386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 Ministerstwa Finansów </w:t>
      </w:r>
      <w:r w:rsidR="000A1F49" w:rsidRPr="0058008E"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="00AA386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uzupełnienie subwencji ogólnej </w:t>
      </w:r>
      <w:r w:rsidR="00A2534A" w:rsidRPr="0058008E">
        <w:rPr>
          <w:rFonts w:ascii="Times New Roman" w:hAnsi="Times New Roman"/>
          <w:b w:val="0"/>
          <w:i w:val="0"/>
          <w:sz w:val="24"/>
          <w:szCs w:val="24"/>
        </w:rPr>
        <w:t>5</w:t>
      </w:r>
      <w:r w:rsidR="00B0167A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7</w:t>
      </w:r>
      <w:r w:rsidR="00AA386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mln</w:t>
      </w:r>
      <w:r w:rsidR="000A1F49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zł</w:t>
      </w:r>
      <w:r w:rsidR="00A2534A"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14:paraId="61EDD7C0" w14:textId="77777777" w:rsidR="00D4744D" w:rsidRPr="0058008E" w:rsidRDefault="00D4744D" w:rsidP="00FD39A3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20987933" w14:textId="4C2D4045" w:rsidR="0037275C" w:rsidRPr="0058008E" w:rsidRDefault="006C0285" w:rsidP="00FD39A3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Szczegółowe zestawienia osiągniętych dochodów w grupie </w:t>
      </w:r>
      <w:r w:rsidR="00363F26" w:rsidRPr="0058008E">
        <w:rPr>
          <w:rFonts w:ascii="Times New Roman" w:hAnsi="Times New Roman"/>
          <w:b w:val="0"/>
          <w:i w:val="0"/>
          <w:sz w:val="24"/>
          <w:szCs w:val="24"/>
        </w:rPr>
        <w:t>„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pozostałe</w:t>
      </w:r>
      <w:r w:rsidRPr="0058008E">
        <w:rPr>
          <w:rFonts w:ascii="Times New Roman" w:hAnsi="Times New Roman"/>
          <w:b w:val="0"/>
          <w:i w:val="0"/>
          <w:sz w:val="28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dochody</w:t>
      </w:r>
      <w:r w:rsidR="00363F26" w:rsidRPr="0058008E">
        <w:rPr>
          <w:rFonts w:ascii="Times New Roman" w:hAnsi="Times New Roman"/>
          <w:b w:val="0"/>
          <w:i w:val="0"/>
          <w:sz w:val="24"/>
        </w:rPr>
        <w:t>”</w:t>
      </w:r>
      <w:r w:rsidR="00FC0CE3" w:rsidRPr="0058008E">
        <w:rPr>
          <w:rFonts w:ascii="Times New Roman" w:hAnsi="Times New Roman"/>
          <w:b w:val="0"/>
          <w:i w:val="0"/>
          <w:sz w:val="24"/>
        </w:rPr>
        <w:t>,</w:t>
      </w:r>
      <w:r w:rsidRPr="0058008E">
        <w:rPr>
          <w:rFonts w:ascii="Times New Roman" w:hAnsi="Times New Roman"/>
          <w:b w:val="0"/>
          <w:i w:val="0"/>
          <w:sz w:val="24"/>
        </w:rPr>
        <w:t xml:space="preserve"> z tytułu </w:t>
      </w:r>
      <w:r w:rsidRPr="00AB49D3">
        <w:rPr>
          <w:rFonts w:ascii="Times New Roman" w:hAnsi="Times New Roman"/>
          <w:b w:val="0"/>
          <w:i w:val="0"/>
          <w:sz w:val="24"/>
        </w:rPr>
        <w:t>gospodar</w:t>
      </w:r>
      <w:r w:rsidR="00FC0CE3" w:rsidRPr="00AB49D3">
        <w:rPr>
          <w:rFonts w:ascii="Times New Roman" w:hAnsi="Times New Roman"/>
          <w:b w:val="0"/>
          <w:i w:val="0"/>
          <w:sz w:val="24"/>
        </w:rPr>
        <w:t>owania</w:t>
      </w:r>
      <w:r w:rsidRPr="00AB49D3">
        <w:rPr>
          <w:rFonts w:ascii="Times New Roman" w:hAnsi="Times New Roman"/>
          <w:b w:val="0"/>
          <w:i w:val="0"/>
          <w:sz w:val="24"/>
        </w:rPr>
        <w:t xml:space="preserve"> majątk</w:t>
      </w:r>
      <w:r w:rsidR="003502E3" w:rsidRPr="00AB49D3">
        <w:rPr>
          <w:rFonts w:ascii="Times New Roman" w:hAnsi="Times New Roman"/>
          <w:b w:val="0"/>
          <w:i w:val="0"/>
          <w:sz w:val="24"/>
        </w:rPr>
        <w:t>iem</w:t>
      </w:r>
      <w:r w:rsidRPr="00AB49D3">
        <w:rPr>
          <w:rFonts w:ascii="Times New Roman" w:hAnsi="Times New Roman"/>
          <w:b w:val="0"/>
          <w:i w:val="0"/>
          <w:sz w:val="24"/>
        </w:rPr>
        <w:t xml:space="preserve"> oraz podatków i opłat </w:t>
      </w:r>
      <w:r w:rsidR="00C724F7" w:rsidRPr="00AB49D3">
        <w:rPr>
          <w:rFonts w:ascii="Times New Roman" w:hAnsi="Times New Roman"/>
          <w:b w:val="0"/>
          <w:i w:val="0"/>
          <w:sz w:val="24"/>
        </w:rPr>
        <w:t>lokalnych przedstawiono</w:t>
      </w:r>
      <w:r w:rsidRPr="00AB49D3">
        <w:rPr>
          <w:rFonts w:ascii="Times New Roman" w:hAnsi="Times New Roman"/>
          <w:b w:val="0"/>
          <w:i w:val="0"/>
          <w:sz w:val="24"/>
        </w:rPr>
        <w:t xml:space="preserve"> kolejno w </w:t>
      </w:r>
      <w:r w:rsidR="00363F26" w:rsidRPr="00AB49D3">
        <w:rPr>
          <w:rFonts w:ascii="Times New Roman" w:hAnsi="Times New Roman"/>
          <w:b w:val="0"/>
          <w:i w:val="0"/>
          <w:sz w:val="24"/>
        </w:rPr>
        <w:t>Tab.</w:t>
      </w:r>
      <w:r w:rsidRPr="00AB49D3">
        <w:rPr>
          <w:rFonts w:ascii="Times New Roman" w:hAnsi="Times New Roman"/>
          <w:b w:val="0"/>
          <w:i w:val="0"/>
          <w:sz w:val="24"/>
        </w:rPr>
        <w:t xml:space="preserve"> I</w:t>
      </w:r>
      <w:r w:rsidR="00BE17BD" w:rsidRPr="00AB49D3">
        <w:rPr>
          <w:rFonts w:ascii="Times New Roman" w:hAnsi="Times New Roman"/>
          <w:b w:val="0"/>
          <w:i w:val="0"/>
          <w:sz w:val="24"/>
        </w:rPr>
        <w:t>V</w:t>
      </w:r>
      <w:r w:rsidR="001649FF" w:rsidRPr="00AB49D3">
        <w:rPr>
          <w:rFonts w:ascii="Times New Roman" w:hAnsi="Times New Roman"/>
          <w:b w:val="0"/>
          <w:i w:val="0"/>
          <w:sz w:val="24"/>
        </w:rPr>
        <w:t xml:space="preserve"> </w:t>
      </w:r>
      <w:r w:rsidR="00363F26" w:rsidRPr="00AB49D3">
        <w:rPr>
          <w:rFonts w:ascii="Times New Roman" w:hAnsi="Times New Roman"/>
          <w:b w:val="0"/>
          <w:i w:val="0"/>
          <w:sz w:val="24"/>
        </w:rPr>
        <w:t>i</w:t>
      </w:r>
      <w:r w:rsidRPr="00AB49D3">
        <w:rPr>
          <w:rFonts w:ascii="Times New Roman" w:hAnsi="Times New Roman"/>
          <w:b w:val="0"/>
          <w:i w:val="0"/>
          <w:sz w:val="24"/>
        </w:rPr>
        <w:t xml:space="preserve"> </w:t>
      </w:r>
      <w:r w:rsidR="00363F26" w:rsidRPr="00AB49D3">
        <w:rPr>
          <w:rFonts w:ascii="Times New Roman" w:hAnsi="Times New Roman"/>
          <w:b w:val="0"/>
          <w:i w:val="0"/>
          <w:sz w:val="24"/>
        </w:rPr>
        <w:t xml:space="preserve">Tab. </w:t>
      </w:r>
      <w:r w:rsidRPr="00AB49D3">
        <w:rPr>
          <w:rFonts w:ascii="Times New Roman" w:hAnsi="Times New Roman"/>
          <w:b w:val="0"/>
          <w:i w:val="0"/>
          <w:sz w:val="24"/>
        </w:rPr>
        <w:t xml:space="preserve">V </w:t>
      </w:r>
      <w:r w:rsidR="00BE17BD" w:rsidRPr="00AB49D3">
        <w:rPr>
          <w:rFonts w:ascii="Times New Roman" w:hAnsi="Times New Roman"/>
          <w:b w:val="0"/>
          <w:i w:val="0"/>
          <w:sz w:val="24"/>
        </w:rPr>
        <w:t>na str. 1</w:t>
      </w:r>
      <w:r w:rsidR="00AB49D3" w:rsidRPr="00AB49D3">
        <w:rPr>
          <w:rFonts w:ascii="Times New Roman" w:hAnsi="Times New Roman"/>
          <w:b w:val="0"/>
          <w:i w:val="0"/>
          <w:sz w:val="24"/>
        </w:rPr>
        <w:t>3</w:t>
      </w:r>
      <w:r w:rsidR="00BE17BD" w:rsidRPr="00AB49D3">
        <w:rPr>
          <w:rFonts w:ascii="Times New Roman" w:hAnsi="Times New Roman"/>
          <w:b w:val="0"/>
          <w:i w:val="0"/>
          <w:sz w:val="24"/>
        </w:rPr>
        <w:t xml:space="preserve"> i 1</w:t>
      </w:r>
      <w:r w:rsidR="006128D0" w:rsidRPr="00AB49D3">
        <w:rPr>
          <w:rFonts w:ascii="Times New Roman" w:hAnsi="Times New Roman"/>
          <w:b w:val="0"/>
          <w:i w:val="0"/>
          <w:sz w:val="24"/>
        </w:rPr>
        <w:t>4</w:t>
      </w:r>
      <w:r w:rsidR="00BE17BD" w:rsidRPr="00AB49D3">
        <w:rPr>
          <w:rFonts w:ascii="Times New Roman" w:hAnsi="Times New Roman"/>
          <w:b w:val="0"/>
          <w:i w:val="0"/>
          <w:sz w:val="24"/>
        </w:rPr>
        <w:t xml:space="preserve"> </w:t>
      </w:r>
      <w:r w:rsidRPr="00AB49D3">
        <w:rPr>
          <w:rFonts w:ascii="Times New Roman" w:hAnsi="Times New Roman"/>
          <w:b w:val="0"/>
          <w:i w:val="0"/>
          <w:sz w:val="24"/>
        </w:rPr>
        <w:t xml:space="preserve">w dalszej części opisu. </w:t>
      </w:r>
    </w:p>
    <w:p w14:paraId="146E6296" w14:textId="6A152407" w:rsidR="0037275C" w:rsidRPr="0058008E" w:rsidRDefault="0037275C" w:rsidP="00E247D5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573EE02B" w14:textId="0199885C" w:rsidR="001240FF" w:rsidRPr="0058008E" w:rsidRDefault="006C0285" w:rsidP="003E6D68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Istotne znac</w:t>
      </w:r>
      <w:r w:rsidR="00BC0DA4" w:rsidRPr="0058008E">
        <w:rPr>
          <w:rFonts w:ascii="Times New Roman" w:hAnsi="Times New Roman"/>
          <w:b w:val="0"/>
          <w:i w:val="0"/>
          <w:sz w:val="24"/>
        </w:rPr>
        <w:t xml:space="preserve">zenie dla dochodów miasta mają </w:t>
      </w:r>
      <w:r w:rsidRPr="0058008E">
        <w:rPr>
          <w:rFonts w:ascii="Times New Roman" w:hAnsi="Times New Roman"/>
          <w:b w:val="0"/>
          <w:i w:val="0"/>
          <w:sz w:val="24"/>
        </w:rPr>
        <w:t xml:space="preserve">wpływy z tytułu </w:t>
      </w:r>
      <w:r w:rsidRPr="0058008E">
        <w:rPr>
          <w:rFonts w:ascii="Times New Roman" w:hAnsi="Times New Roman"/>
          <w:i w:val="0"/>
          <w:sz w:val="24"/>
        </w:rPr>
        <w:t xml:space="preserve">udziału </w:t>
      </w:r>
      <w:r w:rsidR="00C14C4A" w:rsidRPr="0058008E">
        <w:rPr>
          <w:rFonts w:ascii="Times New Roman" w:hAnsi="Times New Roman"/>
          <w:i w:val="0"/>
          <w:sz w:val="24"/>
        </w:rPr>
        <w:t xml:space="preserve">                 </w:t>
      </w:r>
      <w:r w:rsidRPr="0058008E">
        <w:rPr>
          <w:rFonts w:ascii="Times New Roman" w:hAnsi="Times New Roman"/>
          <w:i w:val="0"/>
          <w:sz w:val="24"/>
        </w:rPr>
        <w:t>w podatkach stanowiących dochód budżetu centralnego</w:t>
      </w:r>
      <w:r w:rsidRPr="0058008E">
        <w:rPr>
          <w:rFonts w:ascii="Times New Roman" w:hAnsi="Times New Roman"/>
          <w:b w:val="0"/>
          <w:i w:val="0"/>
          <w:sz w:val="24"/>
        </w:rPr>
        <w:t>. Ukształtowały się one na poziomie</w:t>
      </w:r>
      <w:r w:rsidR="00D7325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80B53" w:rsidRPr="0058008E">
        <w:rPr>
          <w:rFonts w:ascii="Times New Roman" w:hAnsi="Times New Roman"/>
          <w:b w:val="0"/>
          <w:i w:val="0"/>
          <w:sz w:val="24"/>
        </w:rPr>
        <w:t>45,51</w:t>
      </w:r>
      <w:r w:rsidR="00C91459" w:rsidRPr="0058008E">
        <w:rPr>
          <w:rFonts w:ascii="Times New Roman" w:hAnsi="Times New Roman"/>
          <w:b w:val="0"/>
          <w:i w:val="0"/>
          <w:sz w:val="24"/>
        </w:rPr>
        <w:t xml:space="preserve"> % </w:t>
      </w:r>
      <w:r w:rsidR="00C724F7" w:rsidRPr="0058008E">
        <w:rPr>
          <w:rFonts w:ascii="Times New Roman" w:hAnsi="Times New Roman"/>
          <w:b w:val="0"/>
          <w:i w:val="0"/>
          <w:sz w:val="24"/>
        </w:rPr>
        <w:t>(w</w:t>
      </w:r>
      <w:r w:rsidR="00C91459" w:rsidRPr="0058008E">
        <w:rPr>
          <w:rFonts w:ascii="Times New Roman" w:hAnsi="Times New Roman"/>
          <w:b w:val="0"/>
          <w:i w:val="0"/>
          <w:sz w:val="24"/>
        </w:rPr>
        <w:t xml:space="preserve"> roku 20</w:t>
      </w:r>
      <w:r w:rsidR="0037275C" w:rsidRPr="0058008E">
        <w:rPr>
          <w:rFonts w:ascii="Times New Roman" w:hAnsi="Times New Roman"/>
          <w:b w:val="0"/>
          <w:i w:val="0"/>
          <w:sz w:val="24"/>
        </w:rPr>
        <w:t>2</w:t>
      </w:r>
      <w:r w:rsidR="00980B53" w:rsidRPr="0058008E">
        <w:rPr>
          <w:rFonts w:ascii="Times New Roman" w:hAnsi="Times New Roman"/>
          <w:b w:val="0"/>
          <w:i w:val="0"/>
          <w:sz w:val="24"/>
        </w:rPr>
        <w:t>4</w:t>
      </w:r>
      <w:r w:rsidR="00C91459" w:rsidRPr="0058008E">
        <w:rPr>
          <w:rFonts w:ascii="Times New Roman" w:hAnsi="Times New Roman"/>
          <w:b w:val="0"/>
          <w:i w:val="0"/>
          <w:sz w:val="24"/>
        </w:rPr>
        <w:t xml:space="preserve"> – </w:t>
      </w:r>
      <w:r w:rsidR="00980B53" w:rsidRPr="0058008E">
        <w:rPr>
          <w:rFonts w:ascii="Times New Roman" w:hAnsi="Times New Roman"/>
          <w:b w:val="0"/>
          <w:i w:val="0"/>
          <w:sz w:val="24"/>
        </w:rPr>
        <w:t>3</w:t>
      </w:r>
      <w:r w:rsidR="00C644BE" w:rsidRPr="0058008E">
        <w:rPr>
          <w:rFonts w:ascii="Times New Roman" w:hAnsi="Times New Roman"/>
          <w:b w:val="0"/>
          <w:i w:val="0"/>
          <w:sz w:val="24"/>
        </w:rPr>
        <w:t>2,</w:t>
      </w:r>
      <w:r w:rsidR="00980B53" w:rsidRPr="0058008E">
        <w:rPr>
          <w:rFonts w:ascii="Times New Roman" w:hAnsi="Times New Roman"/>
          <w:b w:val="0"/>
          <w:i w:val="0"/>
          <w:sz w:val="24"/>
        </w:rPr>
        <w:t>86</w:t>
      </w:r>
      <w:r w:rsidR="009E5637" w:rsidRPr="0058008E">
        <w:rPr>
          <w:rFonts w:ascii="Times New Roman" w:hAnsi="Times New Roman"/>
          <w:b w:val="0"/>
          <w:i w:val="0"/>
          <w:sz w:val="24"/>
        </w:rPr>
        <w:t xml:space="preserve"> %) dochodów ogółem. </w:t>
      </w:r>
    </w:p>
    <w:p w14:paraId="222ABF05" w14:textId="4CB5490A" w:rsidR="00363F26" w:rsidRPr="0058008E" w:rsidRDefault="009E5637" w:rsidP="008D7E3F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Z tego </w:t>
      </w:r>
      <w:r w:rsidR="00980B53" w:rsidRPr="0058008E">
        <w:rPr>
          <w:rFonts w:ascii="Times New Roman" w:hAnsi="Times New Roman"/>
          <w:b w:val="0"/>
          <w:i w:val="0"/>
          <w:sz w:val="24"/>
        </w:rPr>
        <w:t>3</w:t>
      </w:r>
      <w:r w:rsidR="00C644BE" w:rsidRPr="0058008E">
        <w:rPr>
          <w:rFonts w:ascii="Times New Roman" w:hAnsi="Times New Roman"/>
          <w:b w:val="0"/>
          <w:i w:val="0"/>
          <w:sz w:val="24"/>
        </w:rPr>
        <w:t>6,</w:t>
      </w:r>
      <w:r w:rsidR="00980B53" w:rsidRPr="0058008E">
        <w:rPr>
          <w:rFonts w:ascii="Times New Roman" w:hAnsi="Times New Roman"/>
          <w:b w:val="0"/>
          <w:i w:val="0"/>
          <w:sz w:val="24"/>
        </w:rPr>
        <w:t>48</w:t>
      </w:r>
      <w:r w:rsidR="002F7395" w:rsidRPr="0058008E">
        <w:rPr>
          <w:rFonts w:ascii="Times New Roman" w:hAnsi="Times New Roman"/>
          <w:b w:val="0"/>
          <w:i w:val="0"/>
          <w:sz w:val="24"/>
        </w:rPr>
        <w:t>%</w:t>
      </w:r>
      <w:r w:rsidR="00BC0DA4"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7"/>
      </w:r>
      <w:r w:rsidR="002F739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to udział w podatku dochodowym o</w:t>
      </w:r>
      <w:r w:rsidR="00C91459" w:rsidRPr="0058008E">
        <w:rPr>
          <w:rFonts w:ascii="Times New Roman" w:hAnsi="Times New Roman"/>
          <w:b w:val="0"/>
          <w:i w:val="0"/>
          <w:sz w:val="24"/>
        </w:rPr>
        <w:t>d osób fizycznych</w:t>
      </w:r>
      <w:r w:rsidR="008D7E3F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16306E" w:rsidRPr="0058008E">
        <w:rPr>
          <w:rFonts w:ascii="Times New Roman" w:hAnsi="Times New Roman"/>
          <w:b w:val="0"/>
          <w:i w:val="0"/>
          <w:sz w:val="24"/>
        </w:rPr>
        <w:t>(</w:t>
      </w:r>
      <w:r w:rsidR="00C644BE" w:rsidRPr="0058008E">
        <w:rPr>
          <w:rFonts w:ascii="Times New Roman" w:hAnsi="Times New Roman"/>
          <w:b w:val="0"/>
          <w:i w:val="0"/>
          <w:sz w:val="24"/>
        </w:rPr>
        <w:t>1</w:t>
      </w:r>
      <w:r w:rsidR="00980B53" w:rsidRPr="0058008E">
        <w:rPr>
          <w:rFonts w:ascii="Times New Roman" w:hAnsi="Times New Roman"/>
          <w:b w:val="0"/>
          <w:i w:val="0"/>
          <w:sz w:val="24"/>
        </w:rPr>
        <w:t>96</w:t>
      </w:r>
      <w:r w:rsidR="0016306E" w:rsidRPr="0058008E">
        <w:rPr>
          <w:rFonts w:ascii="Times New Roman" w:hAnsi="Times New Roman"/>
          <w:b w:val="0"/>
          <w:i w:val="0"/>
          <w:sz w:val="24"/>
        </w:rPr>
        <w:t>,</w:t>
      </w:r>
      <w:r w:rsidR="00980B53" w:rsidRPr="0058008E">
        <w:rPr>
          <w:rFonts w:ascii="Times New Roman" w:hAnsi="Times New Roman"/>
          <w:b w:val="0"/>
          <w:i w:val="0"/>
          <w:sz w:val="24"/>
        </w:rPr>
        <w:t>2</w:t>
      </w:r>
      <w:r w:rsidR="003F1177" w:rsidRPr="0058008E">
        <w:rPr>
          <w:rFonts w:ascii="Times New Roman" w:hAnsi="Times New Roman"/>
          <w:b w:val="0"/>
          <w:i w:val="0"/>
          <w:sz w:val="24"/>
        </w:rPr>
        <w:t xml:space="preserve"> mln zł).</w:t>
      </w:r>
      <w:r w:rsidR="009F7B01" w:rsidRPr="0058008E">
        <w:rPr>
          <w:rFonts w:ascii="Times New Roman" w:hAnsi="Times New Roman"/>
          <w:b w:val="0"/>
          <w:i w:val="0"/>
          <w:sz w:val="24"/>
        </w:rPr>
        <w:t xml:space="preserve"> N</w:t>
      </w:r>
      <w:r w:rsidR="00C91459" w:rsidRPr="0058008E">
        <w:rPr>
          <w:rFonts w:ascii="Times New Roman" w:hAnsi="Times New Roman"/>
          <w:b w:val="0"/>
          <w:i w:val="0"/>
          <w:sz w:val="24"/>
        </w:rPr>
        <w:t xml:space="preserve">atomiast </w:t>
      </w:r>
      <w:r w:rsidR="00980B53" w:rsidRPr="0058008E">
        <w:rPr>
          <w:rFonts w:ascii="Times New Roman" w:hAnsi="Times New Roman"/>
          <w:b w:val="0"/>
          <w:i w:val="0"/>
          <w:sz w:val="24"/>
        </w:rPr>
        <w:t>9,03</w:t>
      </w:r>
      <w:r w:rsidR="00543707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2F7395" w:rsidRPr="0058008E">
        <w:rPr>
          <w:rFonts w:ascii="Times New Roman" w:hAnsi="Times New Roman"/>
          <w:b w:val="0"/>
          <w:i w:val="0"/>
          <w:sz w:val="24"/>
        </w:rPr>
        <w:t>%</w:t>
      </w:r>
      <w:r w:rsidR="00BC0DA4"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8"/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stanowił udział w podatku dochodowym od osób prawnych</w:t>
      </w:r>
      <w:r w:rsidR="0016306E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724F7" w:rsidRPr="0058008E">
        <w:rPr>
          <w:rFonts w:ascii="Times New Roman" w:hAnsi="Times New Roman"/>
          <w:b w:val="0"/>
          <w:i w:val="0"/>
          <w:sz w:val="24"/>
        </w:rPr>
        <w:t xml:space="preserve">CIT </w:t>
      </w:r>
      <w:r w:rsidR="0016306E" w:rsidRPr="0058008E">
        <w:rPr>
          <w:rFonts w:ascii="Times New Roman" w:hAnsi="Times New Roman"/>
          <w:b w:val="0"/>
          <w:i w:val="0"/>
          <w:sz w:val="24"/>
        </w:rPr>
        <w:t>(</w:t>
      </w:r>
      <w:r w:rsidR="00980B53" w:rsidRPr="0058008E">
        <w:rPr>
          <w:rFonts w:ascii="Times New Roman" w:hAnsi="Times New Roman"/>
          <w:b w:val="0"/>
          <w:i w:val="0"/>
          <w:sz w:val="24"/>
        </w:rPr>
        <w:t>48,5</w:t>
      </w:r>
      <w:r w:rsidR="00BF40A9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16306E" w:rsidRPr="0058008E">
        <w:rPr>
          <w:rFonts w:ascii="Times New Roman" w:hAnsi="Times New Roman"/>
          <w:b w:val="0"/>
          <w:i w:val="0"/>
          <w:sz w:val="24"/>
        </w:rPr>
        <w:t>)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. </w:t>
      </w:r>
      <w:r w:rsidR="00585B16" w:rsidRPr="0058008E">
        <w:rPr>
          <w:rFonts w:ascii="Times New Roman" w:hAnsi="Times New Roman"/>
          <w:b w:val="0"/>
          <w:i w:val="0"/>
          <w:sz w:val="24"/>
        </w:rPr>
        <w:t xml:space="preserve">Były one </w:t>
      </w:r>
      <w:r w:rsidR="008F2DB4" w:rsidRPr="0058008E">
        <w:rPr>
          <w:rFonts w:ascii="Times New Roman" w:hAnsi="Times New Roman"/>
          <w:b w:val="0"/>
          <w:i w:val="0"/>
          <w:sz w:val="24"/>
        </w:rPr>
        <w:t xml:space="preserve">o </w:t>
      </w:r>
      <w:r w:rsidR="00980B53" w:rsidRPr="0058008E">
        <w:rPr>
          <w:rFonts w:ascii="Times New Roman" w:hAnsi="Times New Roman"/>
          <w:b w:val="0"/>
          <w:i w:val="0"/>
          <w:sz w:val="24"/>
        </w:rPr>
        <w:t>82</w:t>
      </w:r>
      <w:r w:rsidR="008474A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8D7E3F" w:rsidRPr="0058008E">
        <w:rPr>
          <w:rFonts w:ascii="Times New Roman" w:hAnsi="Times New Roman"/>
          <w:b w:val="0"/>
          <w:i w:val="0"/>
          <w:sz w:val="24"/>
        </w:rPr>
        <w:t xml:space="preserve">mln zł </w:t>
      </w:r>
      <w:r w:rsidR="0045257B" w:rsidRPr="0058008E">
        <w:rPr>
          <w:rFonts w:ascii="Times New Roman" w:hAnsi="Times New Roman"/>
          <w:b w:val="0"/>
          <w:i w:val="0"/>
          <w:sz w:val="24"/>
        </w:rPr>
        <w:t>większe</w:t>
      </w:r>
      <w:r w:rsidR="008D7E3F" w:rsidRPr="0058008E">
        <w:rPr>
          <w:rFonts w:ascii="Times New Roman" w:hAnsi="Times New Roman"/>
          <w:b w:val="0"/>
          <w:i w:val="0"/>
          <w:sz w:val="24"/>
        </w:rPr>
        <w:t xml:space="preserve"> od </w:t>
      </w:r>
      <w:r w:rsidR="00543707" w:rsidRPr="0058008E">
        <w:rPr>
          <w:rFonts w:ascii="Times New Roman" w:hAnsi="Times New Roman"/>
          <w:b w:val="0"/>
          <w:i w:val="0"/>
          <w:sz w:val="24"/>
        </w:rPr>
        <w:t>o</w:t>
      </w:r>
      <w:r w:rsidR="00D24A24" w:rsidRPr="0058008E">
        <w:rPr>
          <w:rFonts w:ascii="Times New Roman" w:hAnsi="Times New Roman"/>
          <w:b w:val="0"/>
          <w:i w:val="0"/>
          <w:sz w:val="24"/>
        </w:rPr>
        <w:t>siągniętych w poprzednim roku budżetowym</w:t>
      </w:r>
      <w:r w:rsidR="00543707" w:rsidRPr="0058008E">
        <w:rPr>
          <w:rFonts w:ascii="Times New Roman" w:hAnsi="Times New Roman"/>
          <w:b w:val="0"/>
          <w:i w:val="0"/>
          <w:sz w:val="24"/>
        </w:rPr>
        <w:t>,</w:t>
      </w:r>
      <w:r w:rsidR="00543707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543707" w:rsidRPr="0058008E">
        <w:rPr>
          <w:rFonts w:ascii="Times New Roman" w:hAnsi="Times New Roman"/>
          <w:b w:val="0"/>
          <w:i w:val="0"/>
          <w:sz w:val="24"/>
        </w:rPr>
        <w:t>a zostały przekazane w 100% założonego planu</w:t>
      </w:r>
      <w:r w:rsidRPr="0058008E">
        <w:rPr>
          <w:rFonts w:ascii="Times New Roman" w:hAnsi="Times New Roman"/>
          <w:b w:val="0"/>
          <w:i w:val="0"/>
          <w:sz w:val="24"/>
        </w:rPr>
        <w:t xml:space="preserve">. </w:t>
      </w:r>
    </w:p>
    <w:p w14:paraId="5CEEDDC9" w14:textId="2E8A611B" w:rsidR="00311CEA" w:rsidRPr="0058008E" w:rsidRDefault="009A7C87" w:rsidP="009A7C87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                                                                                                </w:t>
      </w:r>
    </w:p>
    <w:p w14:paraId="2C1391EB" w14:textId="0DBC2174" w:rsidR="000571DD" w:rsidRPr="0058008E" w:rsidRDefault="00DC6C7E" w:rsidP="00DC6C7E">
      <w:pPr>
        <w:pStyle w:val="Tekstpodstawowy2"/>
        <w:jc w:val="right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17441C9" wp14:editId="5A406B89">
            <wp:simplePos x="0" y="0"/>
            <wp:positionH relativeFrom="margin">
              <wp:posOffset>-99695</wp:posOffset>
            </wp:positionH>
            <wp:positionV relativeFrom="paragraph">
              <wp:posOffset>9525</wp:posOffset>
            </wp:positionV>
            <wp:extent cx="3022420" cy="1623060"/>
            <wp:effectExtent l="0" t="0" r="6985" b="15240"/>
            <wp:wrapNone/>
            <wp:docPr id="11" name="Wykr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2AD" w:rsidRPr="0058008E">
        <w:rPr>
          <w:rFonts w:ascii="Times New Roman" w:hAnsi="Times New Roman"/>
          <w:noProof/>
        </w:rPr>
        <w:drawing>
          <wp:inline distT="0" distB="0" distL="0" distR="0" wp14:anchorId="58BF809E" wp14:editId="69D8EA8D">
            <wp:extent cx="2974340" cy="1616236"/>
            <wp:effectExtent l="0" t="0" r="16510" b="3175"/>
            <wp:docPr id="5772867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50F7A99F-35C9-4D34-F3F2-C6DD83D13C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84872DF" w14:textId="0DC6E5D0" w:rsidR="009A7C87" w:rsidRPr="0058008E" w:rsidRDefault="005374A5" w:rsidP="00311CEA">
      <w:pPr>
        <w:pStyle w:val="Tekstpodstawowy2"/>
        <w:jc w:val="right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Rys.2</w:t>
      </w:r>
    </w:p>
    <w:p w14:paraId="7E6B955F" w14:textId="0E46B0C6" w:rsidR="00FF25FF" w:rsidRPr="0058008E" w:rsidRDefault="00FF25FF" w:rsidP="009A7C87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</w:p>
    <w:p w14:paraId="054EA36B" w14:textId="49DC5F3D" w:rsidR="00C91459" w:rsidRPr="0058008E" w:rsidRDefault="00F36CD3" w:rsidP="00F36CD3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Jak widać na powyższych diagramach </w:t>
      </w:r>
      <w:r w:rsidR="00A762AD" w:rsidRPr="0058008E">
        <w:rPr>
          <w:rFonts w:ascii="Times New Roman" w:hAnsi="Times New Roman"/>
          <w:b w:val="0"/>
          <w:i w:val="0"/>
          <w:sz w:val="24"/>
        </w:rPr>
        <w:t>dochody</w:t>
      </w:r>
      <w:r w:rsidR="009D3955" w:rsidRPr="0058008E">
        <w:rPr>
          <w:rFonts w:ascii="Times New Roman" w:hAnsi="Times New Roman"/>
          <w:b w:val="0"/>
          <w:i w:val="0"/>
          <w:sz w:val="24"/>
        </w:rPr>
        <w:t xml:space="preserve"> z</w:t>
      </w:r>
      <w:r w:rsidR="00994B61" w:rsidRPr="0058008E">
        <w:rPr>
          <w:rFonts w:ascii="Times New Roman" w:hAnsi="Times New Roman"/>
          <w:b w:val="0"/>
          <w:i w:val="0"/>
          <w:sz w:val="24"/>
        </w:rPr>
        <w:t xml:space="preserve"> tytułu udziału w</w:t>
      </w:r>
      <w:r w:rsidR="009D3955" w:rsidRPr="0058008E">
        <w:rPr>
          <w:rFonts w:ascii="Times New Roman" w:hAnsi="Times New Roman"/>
          <w:b w:val="0"/>
          <w:i w:val="0"/>
          <w:sz w:val="24"/>
        </w:rPr>
        <w:t xml:space="preserve"> podatk</w:t>
      </w:r>
      <w:r w:rsidR="00994B61" w:rsidRPr="0058008E">
        <w:rPr>
          <w:rFonts w:ascii="Times New Roman" w:hAnsi="Times New Roman"/>
          <w:b w:val="0"/>
          <w:i w:val="0"/>
          <w:sz w:val="24"/>
        </w:rPr>
        <w:t>ach</w:t>
      </w:r>
      <w:r w:rsidR="009D395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94B61" w:rsidRPr="0058008E">
        <w:rPr>
          <w:rFonts w:ascii="Times New Roman" w:hAnsi="Times New Roman"/>
          <w:b w:val="0"/>
          <w:i w:val="0"/>
          <w:sz w:val="24"/>
        </w:rPr>
        <w:t xml:space="preserve">dochodowych w zakresie podatku PIT były </w:t>
      </w:r>
      <w:r w:rsidR="005C2954" w:rsidRPr="0058008E">
        <w:rPr>
          <w:rFonts w:ascii="Times New Roman" w:hAnsi="Times New Roman"/>
          <w:b w:val="0"/>
          <w:i w:val="0"/>
          <w:sz w:val="24"/>
        </w:rPr>
        <w:t>większe</w:t>
      </w:r>
      <w:r w:rsidR="00994B6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323BA" w:rsidRPr="0058008E">
        <w:rPr>
          <w:rFonts w:ascii="Times New Roman" w:hAnsi="Times New Roman"/>
          <w:b w:val="0"/>
          <w:i w:val="0"/>
          <w:sz w:val="24"/>
        </w:rPr>
        <w:t xml:space="preserve">o </w:t>
      </w:r>
      <w:r w:rsidR="00E517FE" w:rsidRPr="0058008E">
        <w:rPr>
          <w:rFonts w:ascii="Times New Roman" w:hAnsi="Times New Roman"/>
          <w:b w:val="0"/>
          <w:i w:val="0"/>
          <w:sz w:val="24"/>
        </w:rPr>
        <w:t>63</w:t>
      </w:r>
      <w:r w:rsidR="006323BA" w:rsidRPr="0058008E">
        <w:rPr>
          <w:rFonts w:ascii="Times New Roman" w:hAnsi="Times New Roman"/>
          <w:b w:val="0"/>
          <w:i w:val="0"/>
          <w:sz w:val="24"/>
        </w:rPr>
        <w:t>,</w:t>
      </w:r>
      <w:r w:rsidR="00E517FE" w:rsidRPr="0058008E">
        <w:rPr>
          <w:rFonts w:ascii="Times New Roman" w:hAnsi="Times New Roman"/>
          <w:b w:val="0"/>
          <w:i w:val="0"/>
          <w:sz w:val="24"/>
        </w:rPr>
        <w:t>7</w:t>
      </w:r>
      <w:r w:rsidR="006323BA" w:rsidRPr="0058008E">
        <w:rPr>
          <w:rFonts w:ascii="Times New Roman" w:hAnsi="Times New Roman"/>
          <w:b w:val="0"/>
          <w:i w:val="0"/>
          <w:sz w:val="24"/>
        </w:rPr>
        <w:t xml:space="preserve"> mln zł </w:t>
      </w:r>
      <w:r w:rsidR="00994B61" w:rsidRPr="0058008E">
        <w:rPr>
          <w:rFonts w:ascii="Times New Roman" w:hAnsi="Times New Roman"/>
          <w:b w:val="0"/>
          <w:i w:val="0"/>
          <w:sz w:val="24"/>
        </w:rPr>
        <w:t xml:space="preserve">od tych z roku poprzedniego, natomiast w zakresie </w:t>
      </w:r>
      <w:r w:rsidR="00E517FE" w:rsidRPr="0058008E">
        <w:rPr>
          <w:rFonts w:ascii="Times New Roman" w:hAnsi="Times New Roman"/>
          <w:b w:val="0"/>
          <w:i w:val="0"/>
          <w:sz w:val="24"/>
        </w:rPr>
        <w:t xml:space="preserve">dochodów </w:t>
      </w:r>
      <w:r w:rsidR="00263137" w:rsidRPr="0058008E">
        <w:rPr>
          <w:rFonts w:ascii="Times New Roman" w:hAnsi="Times New Roman"/>
          <w:b w:val="0"/>
          <w:i w:val="0"/>
          <w:sz w:val="24"/>
        </w:rPr>
        <w:t xml:space="preserve">z tytułu udziału w </w:t>
      </w:r>
      <w:r w:rsidR="00994B61" w:rsidRPr="0058008E">
        <w:rPr>
          <w:rFonts w:ascii="Times New Roman" w:hAnsi="Times New Roman"/>
          <w:b w:val="0"/>
          <w:i w:val="0"/>
          <w:sz w:val="24"/>
        </w:rPr>
        <w:t xml:space="preserve">podatku  CIT były większe o </w:t>
      </w:r>
      <w:r w:rsidR="00263137" w:rsidRPr="0058008E">
        <w:rPr>
          <w:rFonts w:ascii="Times New Roman" w:hAnsi="Times New Roman"/>
          <w:b w:val="0"/>
          <w:i w:val="0"/>
          <w:sz w:val="24"/>
        </w:rPr>
        <w:t>18</w:t>
      </w:r>
      <w:r w:rsidR="005C2954" w:rsidRPr="0058008E">
        <w:rPr>
          <w:rFonts w:ascii="Times New Roman" w:hAnsi="Times New Roman"/>
          <w:b w:val="0"/>
          <w:i w:val="0"/>
          <w:sz w:val="24"/>
        </w:rPr>
        <w:t>,</w:t>
      </w:r>
      <w:r w:rsidR="00263137" w:rsidRPr="0058008E">
        <w:rPr>
          <w:rFonts w:ascii="Times New Roman" w:hAnsi="Times New Roman"/>
          <w:b w:val="0"/>
          <w:i w:val="0"/>
          <w:sz w:val="24"/>
        </w:rPr>
        <w:t>4</w:t>
      </w:r>
      <w:r w:rsidR="00994B61" w:rsidRPr="0058008E">
        <w:rPr>
          <w:rFonts w:ascii="Times New Roman" w:hAnsi="Times New Roman"/>
          <w:b w:val="0"/>
          <w:i w:val="0"/>
          <w:sz w:val="24"/>
        </w:rPr>
        <w:t xml:space="preserve"> mln zł. </w:t>
      </w:r>
      <w:r w:rsidR="00263137" w:rsidRPr="0058008E">
        <w:rPr>
          <w:rFonts w:ascii="Times New Roman" w:hAnsi="Times New Roman"/>
          <w:b w:val="0"/>
          <w:i w:val="0"/>
          <w:sz w:val="24"/>
        </w:rPr>
        <w:t xml:space="preserve">Wynikało to ze zmiany zasad naliczania dochodów dla jednostek samorządu terytorialnego zawartych w nowej ustawie o dochodach dla </w:t>
      </w:r>
      <w:proofErr w:type="spellStart"/>
      <w:r w:rsidR="00263137" w:rsidRPr="0058008E">
        <w:rPr>
          <w:rFonts w:ascii="Times New Roman" w:hAnsi="Times New Roman"/>
          <w:b w:val="0"/>
          <w:i w:val="0"/>
          <w:sz w:val="24"/>
        </w:rPr>
        <w:t>jst</w:t>
      </w:r>
      <w:proofErr w:type="spellEnd"/>
      <w:r w:rsidR="00263137" w:rsidRPr="0058008E">
        <w:rPr>
          <w:rFonts w:ascii="Times New Roman" w:hAnsi="Times New Roman"/>
          <w:b w:val="0"/>
          <w:i w:val="0"/>
          <w:sz w:val="24"/>
        </w:rPr>
        <w:t xml:space="preserve"> z udziałów w podatkach dochodowych na udziały w dochodach z tych podatków.</w:t>
      </w:r>
    </w:p>
    <w:p w14:paraId="6AA661A4" w14:textId="77777777" w:rsidR="00667472" w:rsidRPr="0058008E" w:rsidRDefault="00667472" w:rsidP="00F36CD3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2D0F5923" w14:textId="77777777" w:rsidR="003F62F6" w:rsidRPr="0058008E" w:rsidRDefault="00BF04C8" w:rsidP="008C477C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Na</w:t>
      </w:r>
      <w:r w:rsidR="007E5D1A" w:rsidRPr="0058008E">
        <w:rPr>
          <w:rFonts w:ascii="Times New Roman" w:hAnsi="Times New Roman"/>
          <w:i w:val="0"/>
          <w:sz w:val="24"/>
        </w:rPr>
        <w:t xml:space="preserve"> s</w:t>
      </w:r>
      <w:r w:rsidR="006C0285" w:rsidRPr="0058008E">
        <w:rPr>
          <w:rFonts w:ascii="Times New Roman" w:hAnsi="Times New Roman"/>
          <w:i w:val="0"/>
          <w:sz w:val="24"/>
        </w:rPr>
        <w:t>ubwencj</w:t>
      </w:r>
      <w:r w:rsidR="004E0945" w:rsidRPr="0058008E">
        <w:rPr>
          <w:rFonts w:ascii="Times New Roman" w:hAnsi="Times New Roman"/>
          <w:i w:val="0"/>
          <w:sz w:val="24"/>
        </w:rPr>
        <w:t>e</w:t>
      </w:r>
      <w:r w:rsidR="00502852" w:rsidRPr="0058008E">
        <w:rPr>
          <w:rFonts w:ascii="Times New Roman" w:hAnsi="Times New Roman"/>
          <w:i w:val="0"/>
          <w:sz w:val="24"/>
        </w:rPr>
        <w:t xml:space="preserve"> </w:t>
      </w:r>
      <w:r w:rsidR="00C91459" w:rsidRPr="0058008E">
        <w:rPr>
          <w:rFonts w:ascii="Times New Roman" w:hAnsi="Times New Roman"/>
          <w:i w:val="0"/>
          <w:sz w:val="24"/>
        </w:rPr>
        <w:t xml:space="preserve">– </w:t>
      </w:r>
      <w:r w:rsidR="00980B53" w:rsidRPr="0058008E">
        <w:rPr>
          <w:rFonts w:ascii="Times New Roman" w:hAnsi="Times New Roman"/>
          <w:i w:val="0"/>
          <w:sz w:val="24"/>
        </w:rPr>
        <w:t>10,7</w:t>
      </w:r>
      <w:r w:rsidR="003502E3" w:rsidRPr="0058008E">
        <w:rPr>
          <w:rFonts w:ascii="Times New Roman" w:hAnsi="Times New Roman"/>
          <w:i w:val="0"/>
          <w:sz w:val="24"/>
        </w:rPr>
        <w:t xml:space="preserve"> mln zł </w:t>
      </w:r>
      <w:r w:rsidRPr="0058008E">
        <w:rPr>
          <w:rFonts w:ascii="Times New Roman" w:hAnsi="Times New Roman"/>
          <w:b w:val="0"/>
          <w:i w:val="0"/>
          <w:sz w:val="24"/>
        </w:rPr>
        <w:t>stanowiące</w:t>
      </w:r>
      <w:r w:rsidR="002E7DB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80B53" w:rsidRPr="0058008E">
        <w:rPr>
          <w:rFonts w:ascii="Times New Roman" w:hAnsi="Times New Roman"/>
          <w:b w:val="0"/>
          <w:i w:val="0"/>
          <w:sz w:val="24"/>
        </w:rPr>
        <w:t xml:space="preserve">1,99 </w:t>
      </w:r>
      <w:r w:rsidR="002E7DB9" w:rsidRPr="0058008E">
        <w:rPr>
          <w:rFonts w:ascii="Times New Roman" w:hAnsi="Times New Roman"/>
          <w:b w:val="0"/>
          <w:i w:val="0"/>
          <w:sz w:val="24"/>
        </w:rPr>
        <w:t>% udział</w:t>
      </w:r>
      <w:r w:rsidRPr="0058008E">
        <w:rPr>
          <w:rFonts w:ascii="Times New Roman" w:hAnsi="Times New Roman"/>
          <w:b w:val="0"/>
          <w:i w:val="0"/>
          <w:sz w:val="24"/>
        </w:rPr>
        <w:t>u</w:t>
      </w:r>
      <w:r w:rsidR="002E7DB9" w:rsidRPr="0058008E">
        <w:rPr>
          <w:rFonts w:ascii="Times New Roman" w:hAnsi="Times New Roman"/>
          <w:b w:val="0"/>
          <w:i w:val="0"/>
          <w:sz w:val="24"/>
        </w:rPr>
        <w:t xml:space="preserve"> dochodów</w:t>
      </w:r>
      <w:r w:rsidR="003F62F6" w:rsidRPr="0058008E">
        <w:rPr>
          <w:rFonts w:ascii="Times New Roman" w:hAnsi="Times New Roman"/>
          <w:b w:val="0"/>
          <w:i w:val="0"/>
          <w:sz w:val="24"/>
        </w:rPr>
        <w:t>, składały się:</w:t>
      </w:r>
    </w:p>
    <w:p w14:paraId="33606E76" w14:textId="02CE4E47" w:rsidR="00C3468F" w:rsidRPr="0058008E" w:rsidRDefault="003F62F6" w:rsidP="008C477C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-</w:t>
      </w:r>
      <w:r w:rsidR="008C477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subwencj</w:t>
      </w:r>
      <w:r w:rsidR="008C477C" w:rsidRPr="0058008E">
        <w:rPr>
          <w:rFonts w:ascii="Times New Roman" w:hAnsi="Times New Roman"/>
          <w:b w:val="0"/>
          <w:i w:val="0"/>
          <w:sz w:val="24"/>
        </w:rPr>
        <w:t>a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ogóln</w:t>
      </w:r>
      <w:r w:rsidR="008C477C" w:rsidRPr="0058008E">
        <w:rPr>
          <w:rFonts w:ascii="Times New Roman" w:hAnsi="Times New Roman"/>
          <w:b w:val="0"/>
          <w:i w:val="0"/>
          <w:sz w:val="24"/>
        </w:rPr>
        <w:t>a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-</w:t>
      </w:r>
      <w:r w:rsidR="00980B53" w:rsidRPr="0058008E">
        <w:rPr>
          <w:rFonts w:ascii="Times New Roman" w:hAnsi="Times New Roman"/>
          <w:b w:val="0"/>
          <w:i w:val="0"/>
          <w:sz w:val="24"/>
        </w:rPr>
        <w:t xml:space="preserve"> 4,9 mln</w:t>
      </w:r>
    </w:p>
    <w:p w14:paraId="1DAE5185" w14:textId="2B36ECEA" w:rsidR="003F62F6" w:rsidRPr="0058008E" w:rsidRDefault="003F62F6" w:rsidP="008C477C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-  uzupełnienie subwencji ogólnej – 5,7 mln zł</w:t>
      </w:r>
    </w:p>
    <w:p w14:paraId="5742A117" w14:textId="77777777" w:rsidR="003F1177" w:rsidRPr="0058008E" w:rsidRDefault="003F1177" w:rsidP="004C4639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34AEB69A" w14:textId="77777777" w:rsidR="001E0A2D" w:rsidRDefault="001E0A2D" w:rsidP="004C4639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</w:p>
    <w:p w14:paraId="157A63BC" w14:textId="581EE7C8" w:rsidR="00BF04C8" w:rsidRPr="0058008E" w:rsidRDefault="00112FB1" w:rsidP="004C4639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lastRenderedPageBreak/>
        <w:t>N</w:t>
      </w:r>
      <w:r w:rsidR="00A172E6" w:rsidRPr="0058008E">
        <w:rPr>
          <w:rFonts w:ascii="Times New Roman" w:hAnsi="Times New Roman"/>
          <w:b w:val="0"/>
          <w:i w:val="0"/>
          <w:sz w:val="24"/>
        </w:rPr>
        <w:t>ależy</w:t>
      </w:r>
      <w:r w:rsidR="00C9145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też </w:t>
      </w:r>
      <w:r w:rsidR="00C91459" w:rsidRPr="0058008E">
        <w:rPr>
          <w:rFonts w:ascii="Times New Roman" w:hAnsi="Times New Roman"/>
          <w:b w:val="0"/>
          <w:i w:val="0"/>
          <w:sz w:val="24"/>
        </w:rPr>
        <w:t>podkreślić, ż</w:t>
      </w:r>
      <w:r w:rsidR="008C477C" w:rsidRPr="0058008E">
        <w:rPr>
          <w:rFonts w:ascii="Times New Roman" w:hAnsi="Times New Roman"/>
          <w:b w:val="0"/>
          <w:i w:val="0"/>
          <w:sz w:val="24"/>
        </w:rPr>
        <w:t>e od 2025 r. samorządy nie otrzymują już subwencji oświatowej</w:t>
      </w:r>
      <w:r w:rsidR="0017079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8C477C" w:rsidRPr="0058008E">
        <w:rPr>
          <w:rFonts w:ascii="Times New Roman" w:hAnsi="Times New Roman"/>
          <w:b w:val="0"/>
          <w:i w:val="0"/>
          <w:sz w:val="24"/>
        </w:rPr>
        <w:t xml:space="preserve">w zamian za to są wyliczane tzw. </w:t>
      </w:r>
      <w:r w:rsidR="00A816D1" w:rsidRPr="0058008E">
        <w:rPr>
          <w:rFonts w:ascii="Times New Roman" w:hAnsi="Times New Roman"/>
          <w:b w:val="0"/>
          <w:i w:val="0"/>
          <w:sz w:val="24"/>
        </w:rPr>
        <w:t>„p</w:t>
      </w:r>
      <w:r w:rsidR="008C477C" w:rsidRPr="0058008E">
        <w:rPr>
          <w:rFonts w:ascii="Times New Roman" w:hAnsi="Times New Roman"/>
          <w:b w:val="0"/>
          <w:i w:val="0"/>
          <w:sz w:val="24"/>
        </w:rPr>
        <w:t>otrzeby oświato</w:t>
      </w:r>
      <w:r w:rsidR="00A816D1" w:rsidRPr="0058008E">
        <w:rPr>
          <w:rFonts w:ascii="Times New Roman" w:hAnsi="Times New Roman"/>
          <w:b w:val="0"/>
          <w:i w:val="0"/>
          <w:sz w:val="24"/>
        </w:rPr>
        <w:t xml:space="preserve">we”, na pokrycie których środki są w zwiększonych dochodach z tytułu udziału w dochodach podatkowych. Należy </w:t>
      </w:r>
      <w:r w:rsidR="00D11CE0" w:rsidRPr="0058008E">
        <w:rPr>
          <w:rFonts w:ascii="Times New Roman" w:hAnsi="Times New Roman"/>
          <w:b w:val="0"/>
          <w:i w:val="0"/>
          <w:sz w:val="24"/>
        </w:rPr>
        <w:t>podkreślić,</w:t>
      </w:r>
      <w:r w:rsidR="00A816D1" w:rsidRPr="0058008E">
        <w:rPr>
          <w:rFonts w:ascii="Times New Roman" w:hAnsi="Times New Roman"/>
          <w:b w:val="0"/>
          <w:i w:val="0"/>
          <w:sz w:val="24"/>
        </w:rPr>
        <w:t xml:space="preserve"> że określone dla miasta Sopotu potrzeby oświatowe w wysokości 76 mln zł nie pokrywały</w:t>
      </w:r>
      <w:r w:rsidR="003F62F6" w:rsidRPr="0058008E">
        <w:rPr>
          <w:rFonts w:ascii="Times New Roman" w:hAnsi="Times New Roman"/>
          <w:b w:val="0"/>
          <w:i w:val="0"/>
          <w:sz w:val="24"/>
        </w:rPr>
        <w:t xml:space="preserve"> nawet </w:t>
      </w:r>
      <w:r w:rsidR="00A816D1" w:rsidRPr="0058008E">
        <w:rPr>
          <w:rFonts w:ascii="Times New Roman" w:hAnsi="Times New Roman"/>
          <w:b w:val="0"/>
          <w:i w:val="0"/>
          <w:sz w:val="24"/>
        </w:rPr>
        <w:t xml:space="preserve">kwoty potrzebnej na wypłaty wynagrodzeń nauczycieli i innych pracowników </w:t>
      </w:r>
      <w:r w:rsidR="00A172E6" w:rsidRPr="0058008E">
        <w:rPr>
          <w:rFonts w:ascii="Times New Roman" w:hAnsi="Times New Roman"/>
          <w:b w:val="0"/>
          <w:i w:val="0"/>
          <w:sz w:val="24"/>
        </w:rPr>
        <w:t>oświaty</w:t>
      </w:r>
      <w:r w:rsidR="00170794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1350E5FC" w14:textId="77777777" w:rsidR="00803911" w:rsidRPr="0058008E" w:rsidRDefault="00803911" w:rsidP="004C4639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</w:p>
    <w:p w14:paraId="2193C15A" w14:textId="77777777" w:rsidR="00170794" w:rsidRPr="0058008E" w:rsidRDefault="005374A5" w:rsidP="00803911">
      <w:pPr>
        <w:pStyle w:val="Tekstpodstawowy2"/>
        <w:ind w:left="7788"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Rys.3</w:t>
      </w:r>
    </w:p>
    <w:p w14:paraId="3C6D5424" w14:textId="46C1FB9A" w:rsidR="00170794" w:rsidRPr="0058008E" w:rsidRDefault="00A41B4A" w:rsidP="00170794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noProof/>
          <w:color w:val="EE0000"/>
          <w:sz w:val="24"/>
        </w:rPr>
        <w:drawing>
          <wp:inline distT="0" distB="0" distL="0" distR="0" wp14:anchorId="7DD9F4F9" wp14:editId="136B3931">
            <wp:extent cx="5041996" cy="2124075"/>
            <wp:effectExtent l="0" t="0" r="6350" b="9525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941B6A1" w14:textId="7B0D2624" w:rsidR="009A7C87" w:rsidRPr="0058008E" w:rsidRDefault="009A7C87" w:rsidP="00170794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</w:p>
    <w:p w14:paraId="071CA3A8" w14:textId="77777777" w:rsidR="00D87EA8" w:rsidRPr="0058008E" w:rsidRDefault="00D87EA8" w:rsidP="004C4639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</w:p>
    <w:p w14:paraId="79081840" w14:textId="3BC81D66" w:rsidR="006C0285" w:rsidRPr="0058008E" w:rsidRDefault="008969A5" w:rsidP="004C4639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W</w:t>
      </w:r>
      <w:r w:rsidR="00667472" w:rsidRPr="0058008E">
        <w:rPr>
          <w:rFonts w:ascii="Times New Roman" w:hAnsi="Times New Roman"/>
          <w:b w:val="0"/>
          <w:i w:val="0"/>
          <w:sz w:val="24"/>
        </w:rPr>
        <w:t>ielkość</w:t>
      </w:r>
      <w:r w:rsidRPr="0058008E">
        <w:rPr>
          <w:rFonts w:ascii="Times New Roman" w:hAnsi="Times New Roman"/>
          <w:i w:val="0"/>
          <w:sz w:val="24"/>
        </w:rPr>
        <w:t xml:space="preserve"> środków </w:t>
      </w:r>
      <w:r w:rsidR="003502E3" w:rsidRPr="0058008E">
        <w:rPr>
          <w:rFonts w:ascii="Times New Roman" w:hAnsi="Times New Roman"/>
          <w:i w:val="0"/>
          <w:sz w:val="24"/>
        </w:rPr>
        <w:t>z</w:t>
      </w:r>
      <w:r w:rsidR="00803911" w:rsidRPr="0058008E">
        <w:rPr>
          <w:rFonts w:ascii="Times New Roman" w:hAnsi="Times New Roman"/>
          <w:i w:val="0"/>
          <w:sz w:val="24"/>
        </w:rPr>
        <w:t>ewnętrznych w tym z</w:t>
      </w:r>
      <w:r w:rsidR="003502E3" w:rsidRPr="0058008E">
        <w:rPr>
          <w:rFonts w:ascii="Times New Roman" w:hAnsi="Times New Roman"/>
          <w:i w:val="0"/>
          <w:sz w:val="24"/>
        </w:rPr>
        <w:t xml:space="preserve"> </w:t>
      </w:r>
      <w:r w:rsidR="004C4639" w:rsidRPr="0058008E">
        <w:rPr>
          <w:rFonts w:ascii="Times New Roman" w:hAnsi="Times New Roman"/>
          <w:i w:val="0"/>
          <w:sz w:val="24"/>
        </w:rPr>
        <w:t>UE</w:t>
      </w:r>
      <w:r w:rsidRPr="0058008E">
        <w:rPr>
          <w:rFonts w:ascii="Times New Roman" w:hAnsi="Times New Roman"/>
          <w:i w:val="0"/>
          <w:sz w:val="24"/>
        </w:rPr>
        <w:t xml:space="preserve">, </w:t>
      </w:r>
      <w:r w:rsidR="00844B64" w:rsidRPr="0058008E">
        <w:rPr>
          <w:rFonts w:ascii="Times New Roman" w:hAnsi="Times New Roman"/>
          <w:b w:val="0"/>
          <w:i w:val="0"/>
          <w:sz w:val="24"/>
        </w:rPr>
        <w:t>w</w:t>
      </w:r>
      <w:r w:rsidR="00CB75C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20</w:t>
      </w:r>
      <w:r w:rsidR="00D74751" w:rsidRPr="0058008E">
        <w:rPr>
          <w:rFonts w:ascii="Times New Roman" w:hAnsi="Times New Roman"/>
          <w:b w:val="0"/>
          <w:i w:val="0"/>
          <w:sz w:val="24"/>
        </w:rPr>
        <w:t>2</w:t>
      </w:r>
      <w:r w:rsidR="004F7A25" w:rsidRPr="0058008E">
        <w:rPr>
          <w:rFonts w:ascii="Times New Roman" w:hAnsi="Times New Roman"/>
          <w:b w:val="0"/>
          <w:i w:val="0"/>
          <w:sz w:val="24"/>
        </w:rPr>
        <w:t>5</w:t>
      </w:r>
      <w:r w:rsidR="00BF04C8" w:rsidRPr="0058008E">
        <w:rPr>
          <w:rFonts w:ascii="Times New Roman" w:hAnsi="Times New Roman"/>
          <w:b w:val="0"/>
          <w:i w:val="0"/>
          <w:sz w:val="24"/>
        </w:rPr>
        <w:t xml:space="preserve"> r. </w:t>
      </w:r>
      <w:r w:rsidR="003502E3" w:rsidRPr="0058008E">
        <w:rPr>
          <w:rFonts w:ascii="Times New Roman" w:hAnsi="Times New Roman"/>
          <w:b w:val="0"/>
          <w:i w:val="0"/>
          <w:sz w:val="24"/>
        </w:rPr>
        <w:t>wyniosł</w:t>
      </w:r>
      <w:r w:rsidR="00667472" w:rsidRPr="0058008E">
        <w:rPr>
          <w:rFonts w:ascii="Times New Roman" w:hAnsi="Times New Roman"/>
          <w:b w:val="0"/>
          <w:i w:val="0"/>
          <w:sz w:val="24"/>
        </w:rPr>
        <w:t>a</w:t>
      </w:r>
      <w:r w:rsidR="00261C8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F7A25" w:rsidRPr="0058008E">
        <w:rPr>
          <w:rFonts w:ascii="Times New Roman" w:hAnsi="Times New Roman"/>
          <w:i w:val="0"/>
          <w:sz w:val="24"/>
        </w:rPr>
        <w:t>5,8</w:t>
      </w:r>
      <w:r w:rsidR="00FC0CE3" w:rsidRPr="0058008E">
        <w:rPr>
          <w:rFonts w:ascii="Times New Roman" w:hAnsi="Times New Roman"/>
          <w:i w:val="0"/>
          <w:sz w:val="24"/>
        </w:rPr>
        <w:t xml:space="preserve"> </w:t>
      </w:r>
      <w:r w:rsidR="003502E3" w:rsidRPr="0058008E">
        <w:rPr>
          <w:rFonts w:ascii="Times New Roman" w:hAnsi="Times New Roman"/>
          <w:i w:val="0"/>
          <w:sz w:val="24"/>
        </w:rPr>
        <w:t>mln zł</w:t>
      </w:r>
      <w:r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9"/>
      </w:r>
      <w:r w:rsidR="00CB29D6" w:rsidRPr="0058008E">
        <w:rPr>
          <w:rFonts w:ascii="Times New Roman" w:hAnsi="Times New Roman"/>
          <w:b w:val="0"/>
          <w:bCs/>
          <w:i w:val="0"/>
          <w:sz w:val="24"/>
        </w:rPr>
        <w:t>,</w:t>
      </w:r>
      <w:r w:rsidR="00CB29D6" w:rsidRPr="0058008E">
        <w:rPr>
          <w:rFonts w:ascii="Times New Roman" w:hAnsi="Times New Roman"/>
          <w:i w:val="0"/>
          <w:sz w:val="24"/>
        </w:rPr>
        <w:t xml:space="preserve"> </w:t>
      </w:r>
      <w:r w:rsidR="00CB29D6" w:rsidRPr="0058008E">
        <w:rPr>
          <w:rFonts w:ascii="Times New Roman" w:hAnsi="Times New Roman"/>
          <w:b w:val="0"/>
          <w:bCs/>
          <w:i w:val="0"/>
          <w:sz w:val="24"/>
        </w:rPr>
        <w:t xml:space="preserve">tj. </w:t>
      </w:r>
      <w:r w:rsidR="000236C9" w:rsidRPr="0058008E">
        <w:rPr>
          <w:rFonts w:ascii="Times New Roman" w:hAnsi="Times New Roman"/>
          <w:b w:val="0"/>
          <w:bCs/>
          <w:i w:val="0"/>
          <w:sz w:val="24"/>
        </w:rPr>
        <w:t>1,</w:t>
      </w:r>
      <w:r w:rsidR="004F7A25" w:rsidRPr="0058008E">
        <w:rPr>
          <w:rFonts w:ascii="Times New Roman" w:hAnsi="Times New Roman"/>
          <w:b w:val="0"/>
          <w:bCs/>
          <w:i w:val="0"/>
          <w:sz w:val="24"/>
        </w:rPr>
        <w:t>0</w:t>
      </w:r>
      <w:r w:rsidR="000236C9" w:rsidRPr="0058008E">
        <w:rPr>
          <w:rFonts w:ascii="Times New Roman" w:hAnsi="Times New Roman"/>
          <w:b w:val="0"/>
          <w:bCs/>
          <w:i w:val="0"/>
          <w:sz w:val="24"/>
        </w:rPr>
        <w:t>9</w:t>
      </w:r>
      <w:r w:rsidR="00CB29D6" w:rsidRPr="0058008E">
        <w:rPr>
          <w:rFonts w:ascii="Times New Roman" w:hAnsi="Times New Roman"/>
          <w:b w:val="0"/>
          <w:bCs/>
          <w:i w:val="0"/>
          <w:sz w:val="24"/>
        </w:rPr>
        <w:t xml:space="preserve"> % ogółu dochodów</w:t>
      </w:r>
      <w:r w:rsidR="00844B64" w:rsidRPr="0058008E">
        <w:rPr>
          <w:rFonts w:ascii="Times New Roman" w:hAnsi="Times New Roman"/>
          <w:b w:val="0"/>
          <w:bCs/>
          <w:i w:val="0"/>
          <w:sz w:val="24"/>
        </w:rPr>
        <w:t>.</w:t>
      </w:r>
      <w:r w:rsidR="00844B64" w:rsidRPr="0058008E">
        <w:rPr>
          <w:rFonts w:ascii="Times New Roman" w:hAnsi="Times New Roman"/>
          <w:i w:val="0"/>
          <w:sz w:val="24"/>
        </w:rPr>
        <w:t xml:space="preserve"> </w:t>
      </w:r>
      <w:r w:rsidR="00844B64" w:rsidRPr="0058008E">
        <w:rPr>
          <w:rFonts w:ascii="Times New Roman" w:hAnsi="Times New Roman"/>
          <w:b w:val="0"/>
          <w:bCs/>
          <w:i w:val="0"/>
          <w:sz w:val="24"/>
        </w:rPr>
        <w:t>N</w:t>
      </w:r>
      <w:r w:rsidR="006C0285" w:rsidRPr="0058008E">
        <w:rPr>
          <w:rFonts w:ascii="Times New Roman" w:hAnsi="Times New Roman"/>
          <w:b w:val="0"/>
          <w:i w:val="0"/>
          <w:sz w:val="24"/>
        </w:rPr>
        <w:t>a realizację projektów w zakre</w:t>
      </w:r>
      <w:r w:rsidR="00730F0D" w:rsidRPr="0058008E">
        <w:rPr>
          <w:rFonts w:ascii="Times New Roman" w:hAnsi="Times New Roman"/>
          <w:b w:val="0"/>
          <w:i w:val="0"/>
          <w:sz w:val="24"/>
        </w:rPr>
        <w:t>sie zadań bieżą</w:t>
      </w:r>
      <w:r w:rsidRPr="0058008E">
        <w:rPr>
          <w:rFonts w:ascii="Times New Roman" w:hAnsi="Times New Roman"/>
          <w:b w:val="0"/>
          <w:i w:val="0"/>
          <w:sz w:val="24"/>
        </w:rPr>
        <w:t xml:space="preserve">cych wpłynęło </w:t>
      </w:r>
      <w:r w:rsidR="00703674" w:rsidRPr="0058008E">
        <w:rPr>
          <w:rFonts w:ascii="Times New Roman" w:hAnsi="Times New Roman"/>
          <w:b w:val="0"/>
          <w:i w:val="0"/>
          <w:sz w:val="24"/>
        </w:rPr>
        <w:t>1,</w:t>
      </w:r>
      <w:r w:rsidR="00683888" w:rsidRPr="0058008E">
        <w:rPr>
          <w:rFonts w:ascii="Times New Roman" w:hAnsi="Times New Roman"/>
          <w:b w:val="0"/>
          <w:i w:val="0"/>
          <w:sz w:val="24"/>
        </w:rPr>
        <w:t>9</w:t>
      </w:r>
      <w:r w:rsidR="008B4970"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10"/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mln zł. Środki te wykorzystane </w:t>
      </w:r>
      <w:r w:rsidR="004D4586" w:rsidRPr="0058008E">
        <w:rPr>
          <w:rFonts w:ascii="Times New Roman" w:hAnsi="Times New Roman"/>
          <w:b w:val="0"/>
          <w:i w:val="0"/>
          <w:sz w:val="24"/>
        </w:rPr>
        <w:t xml:space="preserve">zostały </w:t>
      </w:r>
      <w:r w:rsidR="00D74751" w:rsidRPr="0058008E">
        <w:rPr>
          <w:rFonts w:ascii="Times New Roman" w:hAnsi="Times New Roman"/>
          <w:b w:val="0"/>
          <w:i w:val="0"/>
          <w:sz w:val="24"/>
        </w:rPr>
        <w:t xml:space="preserve">przede wszystkim </w:t>
      </w:r>
      <w:r w:rsidR="004D4586" w:rsidRPr="0058008E">
        <w:rPr>
          <w:rFonts w:ascii="Times New Roman" w:hAnsi="Times New Roman"/>
          <w:b w:val="0"/>
          <w:i w:val="0"/>
          <w:sz w:val="24"/>
        </w:rPr>
        <w:t xml:space="preserve">na realizację projektów </w:t>
      </w:r>
      <w:r w:rsidR="00D74751" w:rsidRPr="0058008E">
        <w:rPr>
          <w:rFonts w:ascii="Times New Roman" w:hAnsi="Times New Roman"/>
          <w:b w:val="0"/>
          <w:i w:val="0"/>
          <w:sz w:val="24"/>
        </w:rPr>
        <w:t>w zakresie opieki społecznej</w:t>
      </w:r>
      <w:r w:rsidR="00844B64" w:rsidRPr="0058008E">
        <w:rPr>
          <w:rFonts w:ascii="Times New Roman" w:hAnsi="Times New Roman"/>
          <w:b w:val="0"/>
          <w:i w:val="0"/>
          <w:sz w:val="24"/>
        </w:rPr>
        <w:t xml:space="preserve"> oraz </w:t>
      </w:r>
      <w:r w:rsidR="004D4586" w:rsidRPr="0058008E">
        <w:rPr>
          <w:rFonts w:ascii="Times New Roman" w:hAnsi="Times New Roman"/>
          <w:b w:val="0"/>
          <w:i w:val="0"/>
          <w:sz w:val="24"/>
        </w:rPr>
        <w:t xml:space="preserve">wymianę </w:t>
      </w:r>
      <w:r w:rsidR="00D40821" w:rsidRPr="0058008E">
        <w:rPr>
          <w:rFonts w:ascii="Times New Roman" w:hAnsi="Times New Roman"/>
          <w:b w:val="0"/>
          <w:i w:val="0"/>
          <w:sz w:val="24"/>
        </w:rPr>
        <w:t>międzyszkoln</w:t>
      </w:r>
      <w:r w:rsidR="001F3B05" w:rsidRPr="0058008E">
        <w:rPr>
          <w:rFonts w:ascii="Times New Roman" w:hAnsi="Times New Roman"/>
          <w:b w:val="0"/>
          <w:i w:val="0"/>
          <w:sz w:val="24"/>
        </w:rPr>
        <w:t>ą</w:t>
      </w:r>
      <w:r w:rsidR="004D458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młodzieży.</w:t>
      </w:r>
    </w:p>
    <w:p w14:paraId="338B4103" w14:textId="3DB5CC45" w:rsidR="00600D30" w:rsidRPr="0058008E" w:rsidRDefault="006C0285" w:rsidP="00600D30">
      <w:pPr>
        <w:jc w:val="both"/>
        <w:rPr>
          <w:sz w:val="24"/>
        </w:rPr>
      </w:pPr>
      <w:r w:rsidRPr="0058008E">
        <w:rPr>
          <w:sz w:val="24"/>
        </w:rPr>
        <w:t>Na zadania inwestycyjne realizowane z</w:t>
      </w:r>
      <w:r w:rsidR="003502E3" w:rsidRPr="0058008E">
        <w:rPr>
          <w:sz w:val="24"/>
        </w:rPr>
        <w:t xml:space="preserve"> tych </w:t>
      </w:r>
      <w:r w:rsidRPr="0058008E">
        <w:rPr>
          <w:sz w:val="24"/>
        </w:rPr>
        <w:t>śr</w:t>
      </w:r>
      <w:r w:rsidR="00F1437A" w:rsidRPr="0058008E">
        <w:rPr>
          <w:sz w:val="24"/>
        </w:rPr>
        <w:t xml:space="preserve">odków </w:t>
      </w:r>
      <w:r w:rsidR="00600D30" w:rsidRPr="0058008E">
        <w:rPr>
          <w:sz w:val="24"/>
        </w:rPr>
        <w:t xml:space="preserve">wpłynęło ponad </w:t>
      </w:r>
      <w:r w:rsidR="00D810EA" w:rsidRPr="0058008E">
        <w:rPr>
          <w:sz w:val="24"/>
        </w:rPr>
        <w:t>3,9</w:t>
      </w:r>
      <w:r w:rsidR="00600D30" w:rsidRPr="0058008E">
        <w:rPr>
          <w:b/>
          <w:i/>
          <w:sz w:val="24"/>
        </w:rPr>
        <w:t xml:space="preserve"> </w:t>
      </w:r>
      <w:r w:rsidR="00600D30" w:rsidRPr="0058008E">
        <w:rPr>
          <w:sz w:val="24"/>
        </w:rPr>
        <w:t>mln zł</w:t>
      </w:r>
      <w:r w:rsidR="00600D30" w:rsidRPr="0058008E">
        <w:rPr>
          <w:rStyle w:val="Odwoanieprzypisudolnego"/>
          <w:sz w:val="24"/>
        </w:rPr>
        <w:footnoteReference w:id="11"/>
      </w:r>
      <w:r w:rsidR="00803911" w:rsidRPr="0058008E">
        <w:rPr>
          <w:sz w:val="24"/>
        </w:rPr>
        <w:t>, na:</w:t>
      </w:r>
    </w:p>
    <w:p w14:paraId="2DDF89CD" w14:textId="49B63B99" w:rsidR="00BE22F6" w:rsidRPr="0058008E" w:rsidRDefault="00D810EA" w:rsidP="00600D30">
      <w:pPr>
        <w:numPr>
          <w:ilvl w:val="0"/>
          <w:numId w:val="17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 xml:space="preserve">Kultura i ochrona dziedzictwa narodowego </w:t>
      </w:r>
      <w:r w:rsidR="00BE22F6" w:rsidRPr="0058008E">
        <w:rPr>
          <w:sz w:val="24"/>
          <w:szCs w:val="24"/>
        </w:rPr>
        <w:t>(</w:t>
      </w:r>
      <w:r w:rsidRPr="0058008E">
        <w:rPr>
          <w:sz w:val="24"/>
          <w:szCs w:val="24"/>
        </w:rPr>
        <w:t>0,6</w:t>
      </w:r>
      <w:r w:rsidR="00BE22F6" w:rsidRPr="0058008E">
        <w:rPr>
          <w:sz w:val="24"/>
          <w:szCs w:val="24"/>
        </w:rPr>
        <w:t xml:space="preserve"> mln zł),</w:t>
      </w:r>
    </w:p>
    <w:p w14:paraId="6DD3ED28" w14:textId="15093CD6" w:rsidR="005B47C4" w:rsidRPr="0058008E" w:rsidRDefault="005B47C4" w:rsidP="005B47C4">
      <w:pPr>
        <w:numPr>
          <w:ilvl w:val="0"/>
          <w:numId w:val="17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ochron</w:t>
      </w:r>
      <w:r w:rsidR="006323BA" w:rsidRPr="0058008E">
        <w:rPr>
          <w:sz w:val="24"/>
          <w:szCs w:val="24"/>
        </w:rPr>
        <w:t>ę</w:t>
      </w:r>
      <w:r w:rsidRPr="0058008E">
        <w:rPr>
          <w:sz w:val="24"/>
          <w:szCs w:val="24"/>
        </w:rPr>
        <w:t xml:space="preserve"> powietrza atmosferycznego i klimatu (1,</w:t>
      </w:r>
      <w:r w:rsidR="00D810EA" w:rsidRPr="0058008E">
        <w:rPr>
          <w:sz w:val="24"/>
          <w:szCs w:val="24"/>
        </w:rPr>
        <w:t>1</w:t>
      </w:r>
      <w:r w:rsidRPr="0058008E">
        <w:rPr>
          <w:sz w:val="24"/>
          <w:szCs w:val="24"/>
        </w:rPr>
        <w:t xml:space="preserve"> mln zł),</w:t>
      </w:r>
    </w:p>
    <w:p w14:paraId="5D8464A2" w14:textId="2B28C53E" w:rsidR="005B47C4" w:rsidRPr="0058008E" w:rsidRDefault="00D810EA" w:rsidP="00600D30">
      <w:pPr>
        <w:numPr>
          <w:ilvl w:val="0"/>
          <w:numId w:val="17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 xml:space="preserve">rodzina – </w:t>
      </w:r>
      <w:r w:rsidR="00D87EA8" w:rsidRPr="0058008E">
        <w:rPr>
          <w:sz w:val="24"/>
          <w:szCs w:val="24"/>
        </w:rPr>
        <w:t>opieka</w:t>
      </w:r>
      <w:r w:rsidRPr="0058008E">
        <w:rPr>
          <w:sz w:val="24"/>
          <w:szCs w:val="24"/>
        </w:rPr>
        <w:t xml:space="preserve"> nad dziećmi </w:t>
      </w:r>
      <w:r w:rsidR="005B47C4" w:rsidRPr="0058008E">
        <w:rPr>
          <w:sz w:val="24"/>
          <w:szCs w:val="24"/>
        </w:rPr>
        <w:t xml:space="preserve"> (</w:t>
      </w:r>
      <w:r w:rsidRPr="0058008E">
        <w:rPr>
          <w:sz w:val="24"/>
          <w:szCs w:val="24"/>
        </w:rPr>
        <w:t>1,7</w:t>
      </w:r>
      <w:r w:rsidR="005B47C4" w:rsidRPr="0058008E">
        <w:rPr>
          <w:sz w:val="24"/>
          <w:szCs w:val="24"/>
        </w:rPr>
        <w:t xml:space="preserve"> mln zł),</w:t>
      </w:r>
    </w:p>
    <w:p w14:paraId="1967167D" w14:textId="52BEE65C" w:rsidR="00BE22F6" w:rsidRPr="0058008E" w:rsidRDefault="005B47C4" w:rsidP="00133AA9">
      <w:pPr>
        <w:numPr>
          <w:ilvl w:val="0"/>
          <w:numId w:val="17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 xml:space="preserve">urzędy gmin – </w:t>
      </w:r>
      <w:r w:rsidR="00BE22F6" w:rsidRPr="0058008E">
        <w:rPr>
          <w:sz w:val="24"/>
          <w:szCs w:val="24"/>
        </w:rPr>
        <w:t xml:space="preserve"> (0,</w:t>
      </w:r>
      <w:r w:rsidR="00D810EA" w:rsidRPr="0058008E">
        <w:rPr>
          <w:sz w:val="24"/>
          <w:szCs w:val="24"/>
        </w:rPr>
        <w:t>5</w:t>
      </w:r>
      <w:r w:rsidR="00BE22F6" w:rsidRPr="0058008E">
        <w:rPr>
          <w:sz w:val="24"/>
          <w:szCs w:val="24"/>
        </w:rPr>
        <w:t xml:space="preserve"> mln).</w:t>
      </w:r>
    </w:p>
    <w:p w14:paraId="11B70F38" w14:textId="77777777" w:rsidR="00B64DB0" w:rsidRPr="0058008E" w:rsidRDefault="00B64DB0" w:rsidP="00D4744D">
      <w:pPr>
        <w:ind w:left="720"/>
        <w:jc w:val="both"/>
        <w:rPr>
          <w:color w:val="EE0000"/>
          <w:sz w:val="24"/>
          <w:szCs w:val="24"/>
        </w:rPr>
      </w:pPr>
    </w:p>
    <w:p w14:paraId="6844BA98" w14:textId="2F7889FC" w:rsidR="009A7C87" w:rsidRPr="0058008E" w:rsidRDefault="00E25EC7" w:rsidP="00CB29D6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i w:val="0"/>
          <w:sz w:val="24"/>
        </w:rPr>
        <w:t>Dotacje celowe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w st</w:t>
      </w:r>
      <w:r w:rsidRPr="0058008E">
        <w:rPr>
          <w:rFonts w:ascii="Times New Roman" w:hAnsi="Times New Roman"/>
          <w:b w:val="0"/>
          <w:i w:val="0"/>
          <w:sz w:val="24"/>
        </w:rPr>
        <w:t xml:space="preserve">rukturze dochodów ogółem </w:t>
      </w:r>
      <w:r w:rsidR="006C02F4" w:rsidRPr="0058008E">
        <w:rPr>
          <w:rFonts w:ascii="Times New Roman" w:hAnsi="Times New Roman"/>
          <w:b w:val="0"/>
          <w:i w:val="0"/>
          <w:sz w:val="24"/>
        </w:rPr>
        <w:t xml:space="preserve">stanowiły </w:t>
      </w:r>
      <w:r w:rsidR="005B47C4" w:rsidRPr="0058008E">
        <w:rPr>
          <w:rFonts w:ascii="Times New Roman" w:hAnsi="Times New Roman"/>
          <w:b w:val="0"/>
          <w:i w:val="0"/>
          <w:sz w:val="24"/>
        </w:rPr>
        <w:t>7,</w:t>
      </w:r>
      <w:r w:rsidR="004F7A25" w:rsidRPr="0058008E">
        <w:rPr>
          <w:rFonts w:ascii="Times New Roman" w:hAnsi="Times New Roman"/>
          <w:b w:val="0"/>
          <w:i w:val="0"/>
          <w:sz w:val="24"/>
        </w:rPr>
        <w:t>52</w:t>
      </w:r>
      <w:r w:rsidR="00CB29D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%</w:t>
      </w:r>
      <w:r w:rsidR="001A758A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161A21" w:rsidRPr="0058008E">
        <w:rPr>
          <w:rFonts w:ascii="Times New Roman" w:hAnsi="Times New Roman"/>
          <w:b w:val="0"/>
          <w:i w:val="0"/>
          <w:sz w:val="24"/>
        </w:rPr>
        <w:t xml:space="preserve">i </w:t>
      </w:r>
      <w:r w:rsidR="008F2DB4" w:rsidRPr="0058008E">
        <w:rPr>
          <w:rFonts w:ascii="Times New Roman" w:hAnsi="Times New Roman"/>
          <w:b w:val="0"/>
          <w:i w:val="0"/>
          <w:sz w:val="24"/>
        </w:rPr>
        <w:t xml:space="preserve">wyniosły </w:t>
      </w:r>
      <w:r w:rsidR="004F7A25" w:rsidRPr="0058008E">
        <w:rPr>
          <w:rFonts w:ascii="Times New Roman" w:hAnsi="Times New Roman"/>
          <w:i w:val="0"/>
          <w:sz w:val="24"/>
        </w:rPr>
        <w:t>40,4</w:t>
      </w:r>
      <w:r w:rsidR="008F2DB4" w:rsidRPr="0058008E">
        <w:rPr>
          <w:rFonts w:ascii="Times New Roman" w:hAnsi="Times New Roman"/>
          <w:i w:val="0"/>
          <w:sz w:val="24"/>
        </w:rPr>
        <w:t xml:space="preserve"> mln zł</w:t>
      </w:r>
      <w:r w:rsidR="00697E46" w:rsidRPr="0058008E">
        <w:rPr>
          <w:rFonts w:ascii="Times New Roman" w:hAnsi="Times New Roman"/>
          <w:b w:val="0"/>
          <w:i w:val="0"/>
          <w:sz w:val="24"/>
        </w:rPr>
        <w:t xml:space="preserve">. </w:t>
      </w:r>
    </w:p>
    <w:p w14:paraId="2FB74D6F" w14:textId="3C9AC3CE" w:rsidR="00453D00" w:rsidRPr="0058008E" w:rsidRDefault="00453D00" w:rsidP="00453D00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Strukturę procentową otrzymanych dotacji celowych przedstawia rysunek </w:t>
      </w:r>
      <w:r w:rsidR="00926FCA" w:rsidRPr="0058008E">
        <w:rPr>
          <w:rFonts w:ascii="Times New Roman" w:hAnsi="Times New Roman"/>
          <w:b w:val="0"/>
          <w:i w:val="0"/>
          <w:sz w:val="24"/>
        </w:rPr>
        <w:t>4</w:t>
      </w:r>
      <w:r w:rsidRPr="0058008E">
        <w:rPr>
          <w:rFonts w:ascii="Times New Roman" w:hAnsi="Times New Roman"/>
          <w:b w:val="0"/>
          <w:i w:val="0"/>
          <w:sz w:val="24"/>
        </w:rPr>
        <w:t>.</w:t>
      </w:r>
    </w:p>
    <w:p w14:paraId="1160502B" w14:textId="25CC1E01" w:rsidR="004A50F4" w:rsidRDefault="004A50F4" w:rsidP="009A7C87">
      <w:pPr>
        <w:pStyle w:val="Tekstpodstawowy2"/>
        <w:rPr>
          <w:rFonts w:ascii="Times New Roman" w:hAnsi="Times New Roman"/>
          <w:b w:val="0"/>
          <w:i w:val="0"/>
          <w:color w:val="EE0000"/>
          <w:sz w:val="24"/>
        </w:rPr>
      </w:pPr>
    </w:p>
    <w:p w14:paraId="11E1B62E" w14:textId="77777777" w:rsidR="00335ECE" w:rsidRDefault="00335ECE" w:rsidP="009A7C87">
      <w:pPr>
        <w:pStyle w:val="Tekstpodstawowy2"/>
        <w:rPr>
          <w:rFonts w:ascii="Times New Roman" w:hAnsi="Times New Roman"/>
          <w:b w:val="0"/>
          <w:i w:val="0"/>
          <w:color w:val="EE0000"/>
          <w:sz w:val="24"/>
        </w:rPr>
      </w:pPr>
    </w:p>
    <w:p w14:paraId="522FB769" w14:textId="77777777" w:rsidR="00335ECE" w:rsidRDefault="00335ECE" w:rsidP="009A7C87">
      <w:pPr>
        <w:pStyle w:val="Tekstpodstawowy2"/>
        <w:rPr>
          <w:rFonts w:ascii="Times New Roman" w:hAnsi="Times New Roman"/>
          <w:b w:val="0"/>
          <w:i w:val="0"/>
          <w:color w:val="EE0000"/>
          <w:sz w:val="24"/>
        </w:rPr>
      </w:pPr>
    </w:p>
    <w:p w14:paraId="7CDFC9BE" w14:textId="77777777" w:rsidR="00335ECE" w:rsidRDefault="00335ECE" w:rsidP="009A7C87">
      <w:pPr>
        <w:pStyle w:val="Tekstpodstawowy2"/>
        <w:rPr>
          <w:rFonts w:ascii="Times New Roman" w:hAnsi="Times New Roman"/>
          <w:b w:val="0"/>
          <w:i w:val="0"/>
          <w:color w:val="EE0000"/>
          <w:sz w:val="24"/>
        </w:rPr>
      </w:pPr>
    </w:p>
    <w:p w14:paraId="59C37993" w14:textId="77777777" w:rsidR="00335ECE" w:rsidRDefault="00335ECE" w:rsidP="009A7C87">
      <w:pPr>
        <w:pStyle w:val="Tekstpodstawowy2"/>
        <w:rPr>
          <w:rFonts w:ascii="Times New Roman" w:hAnsi="Times New Roman"/>
          <w:b w:val="0"/>
          <w:i w:val="0"/>
          <w:color w:val="EE0000"/>
          <w:sz w:val="24"/>
        </w:rPr>
      </w:pPr>
    </w:p>
    <w:p w14:paraId="372A6C5C" w14:textId="77777777" w:rsidR="00335ECE" w:rsidRPr="0058008E" w:rsidRDefault="00335ECE" w:rsidP="009A7C87">
      <w:pPr>
        <w:pStyle w:val="Tekstpodstawowy2"/>
        <w:rPr>
          <w:rFonts w:ascii="Times New Roman" w:hAnsi="Times New Roman"/>
          <w:b w:val="0"/>
          <w:i w:val="0"/>
          <w:color w:val="EE0000"/>
          <w:sz w:val="24"/>
        </w:rPr>
      </w:pPr>
    </w:p>
    <w:p w14:paraId="18CDD04D" w14:textId="77777777" w:rsidR="00D96EA2" w:rsidRDefault="00D96EA2" w:rsidP="00D4744D">
      <w:pPr>
        <w:pStyle w:val="Tekstpodstawowy2"/>
        <w:rPr>
          <w:rFonts w:ascii="Times New Roman" w:hAnsi="Times New Roman"/>
          <w:b w:val="0"/>
          <w:i w:val="0"/>
          <w:sz w:val="24"/>
        </w:rPr>
      </w:pPr>
    </w:p>
    <w:p w14:paraId="2A6A0C33" w14:textId="77777777" w:rsidR="00D96EA2" w:rsidRDefault="00D96EA2" w:rsidP="00D4744D">
      <w:pPr>
        <w:pStyle w:val="Tekstpodstawowy2"/>
        <w:rPr>
          <w:rFonts w:ascii="Times New Roman" w:hAnsi="Times New Roman"/>
          <w:b w:val="0"/>
          <w:i w:val="0"/>
          <w:sz w:val="24"/>
        </w:rPr>
      </w:pPr>
    </w:p>
    <w:p w14:paraId="03ABB003" w14:textId="77777777" w:rsidR="00D96EA2" w:rsidRDefault="00D96EA2" w:rsidP="00D4744D">
      <w:pPr>
        <w:pStyle w:val="Tekstpodstawowy2"/>
        <w:rPr>
          <w:rFonts w:ascii="Times New Roman" w:hAnsi="Times New Roman"/>
          <w:b w:val="0"/>
          <w:i w:val="0"/>
          <w:sz w:val="24"/>
        </w:rPr>
      </w:pPr>
    </w:p>
    <w:p w14:paraId="5547AA7A" w14:textId="77777777" w:rsidR="00D96EA2" w:rsidRDefault="00D96EA2" w:rsidP="00D4744D">
      <w:pPr>
        <w:pStyle w:val="Tekstpodstawowy2"/>
        <w:rPr>
          <w:rFonts w:ascii="Times New Roman" w:hAnsi="Times New Roman"/>
          <w:b w:val="0"/>
          <w:i w:val="0"/>
          <w:sz w:val="24"/>
        </w:rPr>
      </w:pPr>
    </w:p>
    <w:p w14:paraId="48C4841A" w14:textId="77777777" w:rsidR="00D96EA2" w:rsidRDefault="00D96EA2" w:rsidP="00D4744D">
      <w:pPr>
        <w:pStyle w:val="Tekstpodstawowy2"/>
        <w:rPr>
          <w:rFonts w:ascii="Times New Roman" w:hAnsi="Times New Roman"/>
          <w:b w:val="0"/>
          <w:i w:val="0"/>
          <w:sz w:val="24"/>
        </w:rPr>
      </w:pPr>
    </w:p>
    <w:p w14:paraId="1E13628B" w14:textId="77777777" w:rsidR="00D96EA2" w:rsidRDefault="00D96EA2" w:rsidP="00D4744D">
      <w:pPr>
        <w:pStyle w:val="Tekstpodstawowy2"/>
        <w:rPr>
          <w:rFonts w:ascii="Times New Roman" w:hAnsi="Times New Roman"/>
          <w:b w:val="0"/>
          <w:i w:val="0"/>
          <w:sz w:val="24"/>
        </w:rPr>
      </w:pPr>
    </w:p>
    <w:p w14:paraId="558ABB4B" w14:textId="77777777" w:rsidR="001E0A2D" w:rsidRDefault="001E0A2D" w:rsidP="00D96EA2">
      <w:pPr>
        <w:pStyle w:val="Tekstpodstawowy2"/>
        <w:jc w:val="right"/>
        <w:rPr>
          <w:rFonts w:ascii="Times New Roman" w:hAnsi="Times New Roman"/>
          <w:b w:val="0"/>
          <w:i w:val="0"/>
          <w:sz w:val="24"/>
        </w:rPr>
      </w:pPr>
    </w:p>
    <w:p w14:paraId="429FEC09" w14:textId="3502A7C1" w:rsidR="00926FCA" w:rsidRPr="006412EC" w:rsidRDefault="00926FCA" w:rsidP="00D96EA2">
      <w:pPr>
        <w:pStyle w:val="Tekstpodstawowy2"/>
        <w:jc w:val="right"/>
        <w:rPr>
          <w:rFonts w:ascii="Times New Roman" w:hAnsi="Times New Roman"/>
          <w:b w:val="0"/>
          <w:i w:val="0"/>
          <w:sz w:val="24"/>
        </w:rPr>
      </w:pPr>
      <w:r w:rsidRPr="006412EC">
        <w:rPr>
          <w:rFonts w:ascii="Times New Roman" w:hAnsi="Times New Roman"/>
          <w:b w:val="0"/>
          <w:i w:val="0"/>
          <w:sz w:val="24"/>
        </w:rPr>
        <w:lastRenderedPageBreak/>
        <w:t>Rys.4</w:t>
      </w:r>
    </w:p>
    <w:p w14:paraId="3E9A5AB8" w14:textId="77777777" w:rsidR="00C06ACC" w:rsidRPr="0058008E" w:rsidRDefault="00C06ACC" w:rsidP="00D4744D">
      <w:pPr>
        <w:pStyle w:val="Tekstpodstawowy2"/>
        <w:rPr>
          <w:rFonts w:ascii="Times New Roman" w:hAnsi="Times New Roman"/>
          <w:b w:val="0"/>
          <w:i w:val="0"/>
          <w:color w:val="EE0000"/>
          <w:sz w:val="24"/>
        </w:rPr>
      </w:pPr>
    </w:p>
    <w:p w14:paraId="0A6032BF" w14:textId="23E1A304" w:rsidR="00926FCA" w:rsidRPr="0058008E" w:rsidRDefault="00C06ACC" w:rsidP="00C06ACC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noProof/>
        </w:rPr>
        <w:drawing>
          <wp:inline distT="0" distB="0" distL="0" distR="0" wp14:anchorId="223788A7" wp14:editId="5E614B9F">
            <wp:extent cx="5695950" cy="2209800"/>
            <wp:effectExtent l="0" t="0" r="0" b="0"/>
            <wp:docPr id="213784625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3B4F451-2049-6228-C646-46A2C8006B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EE84130" w14:textId="5E486BC7" w:rsidR="00926FCA" w:rsidRPr="0058008E" w:rsidRDefault="00926FCA" w:rsidP="00844B64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2E683DDC" w14:textId="77777777" w:rsidR="00335ECE" w:rsidRDefault="00335ECE" w:rsidP="00844B64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</w:p>
    <w:p w14:paraId="654D9697" w14:textId="2A12CDA7" w:rsidR="00844B64" w:rsidRPr="0058008E" w:rsidRDefault="006C0285" w:rsidP="00844B64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Na łączną kwotę dotacji celowych złożyły się</w:t>
      </w:r>
      <w:r w:rsidR="00502841" w:rsidRPr="0058008E">
        <w:rPr>
          <w:rFonts w:ascii="Times New Roman" w:hAnsi="Times New Roman"/>
          <w:b w:val="0"/>
          <w:i w:val="0"/>
          <w:sz w:val="24"/>
        </w:rPr>
        <w:t xml:space="preserve">: </w:t>
      </w:r>
    </w:p>
    <w:p w14:paraId="7A842BA8" w14:textId="48EF5EA8" w:rsidR="00844B64" w:rsidRPr="0058008E" w:rsidRDefault="00502841" w:rsidP="00D4744D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-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dotacje otrzymane na realizację </w:t>
      </w:r>
      <w:r w:rsidR="006C0285" w:rsidRPr="0058008E">
        <w:rPr>
          <w:rFonts w:ascii="Times New Roman" w:hAnsi="Times New Roman"/>
          <w:b w:val="0"/>
          <w:i w:val="0"/>
          <w:sz w:val="24"/>
          <w:u w:val="single"/>
        </w:rPr>
        <w:t>zadań gminnych</w:t>
      </w:r>
      <w:r w:rsidR="00761211" w:rsidRPr="0058008E">
        <w:rPr>
          <w:rFonts w:ascii="Times New Roman" w:hAnsi="Times New Roman"/>
          <w:b w:val="0"/>
          <w:i w:val="0"/>
          <w:sz w:val="24"/>
        </w:rPr>
        <w:t xml:space="preserve"> w kwocie ponad</w:t>
      </w:r>
      <w:r w:rsidR="00D4744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51EA2" w:rsidRPr="0058008E">
        <w:rPr>
          <w:rFonts w:ascii="Times New Roman" w:hAnsi="Times New Roman"/>
          <w:b w:val="0"/>
          <w:i w:val="0"/>
          <w:sz w:val="24"/>
        </w:rPr>
        <w:t>18</w:t>
      </w:r>
      <w:r w:rsidR="00F214E1" w:rsidRPr="0058008E">
        <w:rPr>
          <w:rFonts w:ascii="Times New Roman" w:hAnsi="Times New Roman"/>
          <w:b w:val="0"/>
          <w:i w:val="0"/>
          <w:sz w:val="24"/>
        </w:rPr>
        <w:t>,</w:t>
      </w:r>
      <w:r w:rsidR="00451EA2" w:rsidRPr="0058008E">
        <w:rPr>
          <w:rFonts w:ascii="Times New Roman" w:hAnsi="Times New Roman"/>
          <w:b w:val="0"/>
          <w:i w:val="0"/>
          <w:sz w:val="24"/>
        </w:rPr>
        <w:t>2</w:t>
      </w:r>
      <w:r w:rsidR="00761211" w:rsidRPr="0058008E">
        <w:rPr>
          <w:rFonts w:ascii="Times New Roman" w:hAnsi="Times New Roman"/>
          <w:b w:val="0"/>
          <w:i w:val="0"/>
          <w:sz w:val="24"/>
        </w:rPr>
        <w:t xml:space="preserve"> mln zł, stanowiące </w:t>
      </w:r>
      <w:r w:rsidR="00451EA2" w:rsidRPr="0058008E">
        <w:rPr>
          <w:rFonts w:ascii="Times New Roman" w:hAnsi="Times New Roman"/>
          <w:b w:val="0"/>
          <w:i w:val="0"/>
          <w:sz w:val="24"/>
        </w:rPr>
        <w:t>62,57</w:t>
      </w:r>
      <w:r w:rsidR="002E6CD8" w:rsidRPr="0058008E">
        <w:rPr>
          <w:rFonts w:ascii="Times New Roman" w:hAnsi="Times New Roman"/>
          <w:b w:val="0"/>
          <w:i w:val="0"/>
          <w:sz w:val="24"/>
        </w:rPr>
        <w:t>%</w:t>
      </w:r>
      <w:r w:rsidR="008050E6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dochodów w tej grupie,</w:t>
      </w:r>
    </w:p>
    <w:p w14:paraId="3B8BBA8D" w14:textId="0ECD6106" w:rsidR="00844B64" w:rsidRPr="0058008E" w:rsidRDefault="00502841" w:rsidP="00D4744D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-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dotacje na </w:t>
      </w:r>
      <w:r w:rsidR="006C0285" w:rsidRPr="0058008E">
        <w:rPr>
          <w:rFonts w:ascii="Times New Roman" w:hAnsi="Times New Roman"/>
          <w:b w:val="0"/>
          <w:i w:val="0"/>
          <w:sz w:val="24"/>
          <w:u w:val="single"/>
        </w:rPr>
        <w:t>zadania powiatowe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ot</w:t>
      </w:r>
      <w:r w:rsidR="00761211" w:rsidRPr="0058008E">
        <w:rPr>
          <w:rFonts w:ascii="Times New Roman" w:hAnsi="Times New Roman"/>
          <w:b w:val="0"/>
          <w:i w:val="0"/>
          <w:sz w:val="24"/>
        </w:rPr>
        <w:t>rzymane w wysokości</w:t>
      </w:r>
      <w:r w:rsidR="00844B6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51EA2" w:rsidRPr="0058008E">
        <w:rPr>
          <w:rFonts w:ascii="Times New Roman" w:hAnsi="Times New Roman"/>
          <w:b w:val="0"/>
          <w:i w:val="0"/>
          <w:sz w:val="24"/>
        </w:rPr>
        <w:t>10,9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820053" w:rsidRPr="0058008E">
        <w:rPr>
          <w:rFonts w:ascii="Times New Roman" w:hAnsi="Times New Roman"/>
          <w:b w:val="0"/>
          <w:i w:val="0"/>
          <w:sz w:val="24"/>
        </w:rPr>
        <w:t xml:space="preserve">, stanowiące </w:t>
      </w:r>
      <w:r w:rsidR="00451EA2" w:rsidRPr="0058008E">
        <w:rPr>
          <w:rFonts w:ascii="Times New Roman" w:hAnsi="Times New Roman"/>
          <w:b w:val="0"/>
          <w:i w:val="0"/>
          <w:sz w:val="24"/>
        </w:rPr>
        <w:t>37,43</w:t>
      </w:r>
      <w:r w:rsidR="00820053" w:rsidRPr="0058008E">
        <w:rPr>
          <w:rFonts w:ascii="Times New Roman" w:hAnsi="Times New Roman"/>
          <w:b w:val="0"/>
          <w:i w:val="0"/>
          <w:sz w:val="24"/>
        </w:rPr>
        <w:t>% dochodów w tej grupie,</w:t>
      </w:r>
    </w:p>
    <w:p w14:paraId="7A808A10" w14:textId="6754AF17" w:rsidR="00A54B37" w:rsidRPr="0058008E" w:rsidRDefault="00A54B37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303D75A9" w14:textId="10BD0135" w:rsidR="006C0285" w:rsidRPr="0058008E" w:rsidRDefault="006C0285" w:rsidP="00D4744D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Dotacje celowe</w:t>
      </w:r>
      <w:r w:rsidR="005600E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375B72" w:rsidRPr="0058008E">
        <w:rPr>
          <w:rFonts w:ascii="Times New Roman" w:hAnsi="Times New Roman"/>
          <w:b w:val="0"/>
          <w:i w:val="0"/>
          <w:sz w:val="24"/>
        </w:rPr>
        <w:t xml:space="preserve">zarówno </w:t>
      </w:r>
      <w:r w:rsidR="005600E0" w:rsidRPr="0058008E">
        <w:rPr>
          <w:rFonts w:ascii="Times New Roman" w:hAnsi="Times New Roman"/>
          <w:b w:val="0"/>
          <w:i w:val="0"/>
          <w:sz w:val="24"/>
        </w:rPr>
        <w:t>dla gminy</w:t>
      </w:r>
      <w:r w:rsidR="00375B72" w:rsidRPr="0058008E">
        <w:rPr>
          <w:rFonts w:ascii="Times New Roman" w:hAnsi="Times New Roman"/>
          <w:b w:val="0"/>
          <w:i w:val="0"/>
          <w:sz w:val="24"/>
        </w:rPr>
        <w:t xml:space="preserve"> jak i powiatu</w:t>
      </w:r>
      <w:r w:rsidRPr="0058008E">
        <w:rPr>
          <w:rFonts w:ascii="Times New Roman" w:hAnsi="Times New Roman"/>
          <w:b w:val="0"/>
          <w:i w:val="0"/>
          <w:sz w:val="24"/>
        </w:rPr>
        <w:t xml:space="preserve"> otrzymane z budżetu państwa na zadania </w:t>
      </w:r>
      <w:r w:rsidR="00315C8D" w:rsidRPr="0058008E">
        <w:rPr>
          <w:rFonts w:ascii="Times New Roman" w:hAnsi="Times New Roman"/>
          <w:b w:val="0"/>
          <w:i w:val="0"/>
          <w:sz w:val="24"/>
        </w:rPr>
        <w:t>bieżące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315C8D">
        <w:rPr>
          <w:rFonts w:ascii="Times New Roman" w:hAnsi="Times New Roman"/>
          <w:b w:val="0"/>
          <w:i w:val="0"/>
          <w:sz w:val="24"/>
        </w:rPr>
        <w:t xml:space="preserve">z </w:t>
      </w:r>
      <w:r w:rsidRPr="0058008E">
        <w:rPr>
          <w:rFonts w:ascii="Times New Roman" w:hAnsi="Times New Roman"/>
          <w:b w:val="0"/>
          <w:i w:val="0"/>
          <w:sz w:val="24"/>
        </w:rPr>
        <w:t>zakresu administracji rządowej oraz inne zadania zlecone ustawami, zadania realizowane przez gminę na podstawie porozumień z organami administracji rządowej oraz otrzymane z budżetu państwa na realizacj</w:t>
      </w:r>
      <w:r w:rsidR="00502841" w:rsidRPr="0058008E">
        <w:rPr>
          <w:rFonts w:ascii="Times New Roman" w:hAnsi="Times New Roman"/>
          <w:b w:val="0"/>
          <w:i w:val="0"/>
          <w:sz w:val="24"/>
        </w:rPr>
        <w:t>ę</w:t>
      </w:r>
      <w:r w:rsidRPr="0058008E">
        <w:rPr>
          <w:rFonts w:ascii="Times New Roman" w:hAnsi="Times New Roman"/>
          <w:b w:val="0"/>
          <w:i w:val="0"/>
          <w:sz w:val="24"/>
        </w:rPr>
        <w:t xml:space="preserve"> w</w:t>
      </w:r>
      <w:r w:rsidR="00255416" w:rsidRPr="0058008E">
        <w:rPr>
          <w:rFonts w:ascii="Times New Roman" w:hAnsi="Times New Roman"/>
          <w:b w:val="0"/>
          <w:i w:val="0"/>
          <w:sz w:val="24"/>
        </w:rPr>
        <w:t xml:space="preserve">łasnych zadań bieżących </w:t>
      </w:r>
      <w:r w:rsidR="00375B72" w:rsidRPr="0058008E">
        <w:rPr>
          <w:rFonts w:ascii="Times New Roman" w:hAnsi="Times New Roman"/>
          <w:b w:val="0"/>
          <w:i w:val="0"/>
          <w:sz w:val="24"/>
        </w:rPr>
        <w:t>zostały zrealiz</w:t>
      </w:r>
      <w:r w:rsidR="00A024DC" w:rsidRPr="0058008E">
        <w:rPr>
          <w:rFonts w:ascii="Times New Roman" w:hAnsi="Times New Roman"/>
          <w:b w:val="0"/>
          <w:i w:val="0"/>
          <w:sz w:val="24"/>
        </w:rPr>
        <w:t>owane w 9</w:t>
      </w:r>
      <w:r w:rsidR="004F7A25" w:rsidRPr="0058008E">
        <w:rPr>
          <w:rFonts w:ascii="Times New Roman" w:hAnsi="Times New Roman"/>
          <w:b w:val="0"/>
          <w:i w:val="0"/>
          <w:sz w:val="24"/>
        </w:rPr>
        <w:t>5</w:t>
      </w:r>
      <w:r w:rsidR="004168A7" w:rsidRPr="0058008E">
        <w:rPr>
          <w:rFonts w:ascii="Times New Roman" w:hAnsi="Times New Roman"/>
          <w:b w:val="0"/>
          <w:i w:val="0"/>
          <w:sz w:val="24"/>
        </w:rPr>
        <w:t>,</w:t>
      </w:r>
      <w:r w:rsidR="004F7A25" w:rsidRPr="0058008E">
        <w:rPr>
          <w:rFonts w:ascii="Times New Roman" w:hAnsi="Times New Roman"/>
          <w:b w:val="0"/>
          <w:i w:val="0"/>
          <w:sz w:val="24"/>
        </w:rPr>
        <w:t>76</w:t>
      </w:r>
      <w:r w:rsidR="004168A7" w:rsidRPr="0058008E">
        <w:rPr>
          <w:rFonts w:ascii="Times New Roman" w:hAnsi="Times New Roman"/>
          <w:b w:val="0"/>
          <w:i w:val="0"/>
          <w:sz w:val="24"/>
        </w:rPr>
        <w:t xml:space="preserve"> % </w:t>
      </w:r>
      <w:r w:rsidR="00255416" w:rsidRPr="0058008E">
        <w:rPr>
          <w:rFonts w:ascii="Times New Roman" w:hAnsi="Times New Roman"/>
          <w:b w:val="0"/>
          <w:i w:val="0"/>
          <w:sz w:val="24"/>
        </w:rPr>
        <w:t>stosunku do zaplanowanych</w:t>
      </w:r>
      <w:r w:rsidR="00D83543" w:rsidRPr="0058008E">
        <w:rPr>
          <w:rFonts w:ascii="Times New Roman" w:hAnsi="Times New Roman"/>
          <w:b w:val="0"/>
          <w:i w:val="0"/>
          <w:sz w:val="24"/>
        </w:rPr>
        <w:t xml:space="preserve">. </w:t>
      </w:r>
    </w:p>
    <w:p w14:paraId="40D792F6" w14:textId="67D9B4C4" w:rsidR="00F63479" w:rsidRPr="0058008E" w:rsidRDefault="00F63479" w:rsidP="0073307A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597415C8" w14:textId="39DB6951" w:rsidR="00794B64" w:rsidRPr="0058008E" w:rsidRDefault="006C0285" w:rsidP="006128D0">
      <w:pPr>
        <w:pStyle w:val="Tekstpodstawowy2"/>
        <w:ind w:firstLine="567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Na </w:t>
      </w:r>
      <w:r w:rsidR="00EB479D" w:rsidRPr="0058008E">
        <w:rPr>
          <w:rFonts w:ascii="Times New Roman" w:hAnsi="Times New Roman"/>
          <w:b w:val="0"/>
          <w:i w:val="0"/>
          <w:sz w:val="24"/>
        </w:rPr>
        <w:t>d</w:t>
      </w:r>
      <w:r w:rsidRPr="0058008E">
        <w:rPr>
          <w:rFonts w:ascii="Times New Roman" w:hAnsi="Times New Roman"/>
          <w:b w:val="0"/>
          <w:i w:val="0"/>
          <w:sz w:val="24"/>
        </w:rPr>
        <w:t>ochod</w:t>
      </w:r>
      <w:r w:rsidR="00EB479D" w:rsidRPr="0058008E">
        <w:rPr>
          <w:rFonts w:ascii="Times New Roman" w:hAnsi="Times New Roman"/>
          <w:b w:val="0"/>
          <w:i w:val="0"/>
          <w:sz w:val="24"/>
        </w:rPr>
        <w:t>y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36FEB" w:rsidRPr="0058008E">
        <w:rPr>
          <w:rFonts w:ascii="Times New Roman" w:hAnsi="Times New Roman"/>
          <w:b w:val="0"/>
          <w:i w:val="0"/>
          <w:sz w:val="24"/>
        </w:rPr>
        <w:t>z</w:t>
      </w:r>
      <w:r w:rsidR="0073460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gospodarowania</w:t>
      </w:r>
      <w:r w:rsidRPr="0058008E">
        <w:rPr>
          <w:rFonts w:ascii="Times New Roman" w:hAnsi="Times New Roman"/>
          <w:i w:val="0"/>
          <w:sz w:val="24"/>
        </w:rPr>
        <w:t xml:space="preserve"> składnikami majątkowymi miasta</w:t>
      </w:r>
      <w:r w:rsidR="00EB479D" w:rsidRPr="0058008E">
        <w:rPr>
          <w:rFonts w:ascii="Times New Roman" w:hAnsi="Times New Roman"/>
          <w:i w:val="0"/>
          <w:sz w:val="24"/>
        </w:rPr>
        <w:t xml:space="preserve"> </w:t>
      </w:r>
      <w:r w:rsidR="00EB479D" w:rsidRPr="0058008E">
        <w:rPr>
          <w:rFonts w:ascii="Times New Roman" w:hAnsi="Times New Roman"/>
          <w:b w:val="0"/>
          <w:bCs/>
          <w:i w:val="0"/>
          <w:sz w:val="24"/>
        </w:rPr>
        <w:t>składają się</w:t>
      </w:r>
      <w:r w:rsidR="00EB479D" w:rsidRPr="0058008E">
        <w:rPr>
          <w:rFonts w:ascii="Times New Roman" w:hAnsi="Times New Roman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dochody</w:t>
      </w:r>
      <w:r w:rsidR="00EB479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z tytułu: </w:t>
      </w:r>
    </w:p>
    <w:p w14:paraId="557478F7" w14:textId="77777777" w:rsidR="008C538B" w:rsidRPr="0058008E" w:rsidRDefault="00723EE4" w:rsidP="006128D0">
      <w:pPr>
        <w:pStyle w:val="Tekstpodstawowy2"/>
        <w:numPr>
          <w:ilvl w:val="0"/>
          <w:numId w:val="21"/>
        </w:numPr>
        <w:ind w:left="426" w:hanging="436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opłat za </w:t>
      </w:r>
      <w:r w:rsidR="006C0285" w:rsidRPr="0058008E">
        <w:rPr>
          <w:rFonts w:ascii="Times New Roman" w:hAnsi="Times New Roman"/>
          <w:b w:val="0"/>
          <w:i w:val="0"/>
          <w:sz w:val="24"/>
        </w:rPr>
        <w:t>użytkowani</w:t>
      </w:r>
      <w:r w:rsidRPr="0058008E">
        <w:rPr>
          <w:rFonts w:ascii="Times New Roman" w:hAnsi="Times New Roman"/>
          <w:b w:val="0"/>
          <w:i w:val="0"/>
          <w:sz w:val="24"/>
        </w:rPr>
        <w:t>e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wieczyste gruntu i trwał</w:t>
      </w:r>
      <w:r w:rsidRPr="0058008E">
        <w:rPr>
          <w:rFonts w:ascii="Times New Roman" w:hAnsi="Times New Roman"/>
          <w:b w:val="0"/>
          <w:i w:val="0"/>
          <w:sz w:val="24"/>
        </w:rPr>
        <w:t>y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zarząd, które osi</w:t>
      </w:r>
      <w:r w:rsidR="00500454" w:rsidRPr="0058008E">
        <w:rPr>
          <w:rFonts w:ascii="Times New Roman" w:hAnsi="Times New Roman"/>
          <w:b w:val="0"/>
          <w:i w:val="0"/>
          <w:sz w:val="24"/>
        </w:rPr>
        <w:t>ągnięto</w:t>
      </w:r>
    </w:p>
    <w:p w14:paraId="7051775D" w14:textId="2648FC8F" w:rsidR="006E1C22" w:rsidRPr="0058008E" w:rsidRDefault="00500454" w:rsidP="004A305B">
      <w:pPr>
        <w:pStyle w:val="Tekstpodstawowy2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w wysokości </w:t>
      </w:r>
      <w:r w:rsidR="00A2534A" w:rsidRPr="0058008E">
        <w:rPr>
          <w:rFonts w:ascii="Times New Roman" w:hAnsi="Times New Roman"/>
          <w:b w:val="0"/>
          <w:i w:val="0"/>
          <w:sz w:val="24"/>
        </w:rPr>
        <w:t>1</w:t>
      </w:r>
      <w:r w:rsidR="00EB479D" w:rsidRPr="0058008E">
        <w:rPr>
          <w:rFonts w:ascii="Times New Roman" w:hAnsi="Times New Roman"/>
          <w:b w:val="0"/>
          <w:i w:val="0"/>
          <w:sz w:val="24"/>
        </w:rPr>
        <w:t>0</w:t>
      </w:r>
      <w:r w:rsidR="00A2534A" w:rsidRPr="0058008E">
        <w:rPr>
          <w:rFonts w:ascii="Times New Roman" w:hAnsi="Times New Roman"/>
          <w:b w:val="0"/>
          <w:i w:val="0"/>
          <w:sz w:val="24"/>
        </w:rPr>
        <w:t>,</w:t>
      </w:r>
      <w:r w:rsidR="00EB479D" w:rsidRPr="0058008E">
        <w:rPr>
          <w:rFonts w:ascii="Times New Roman" w:hAnsi="Times New Roman"/>
          <w:b w:val="0"/>
          <w:i w:val="0"/>
          <w:sz w:val="24"/>
        </w:rPr>
        <w:t>6</w:t>
      </w:r>
      <w:r w:rsidR="00AB200A" w:rsidRPr="0058008E">
        <w:rPr>
          <w:rFonts w:ascii="Times New Roman" w:hAnsi="Times New Roman"/>
          <w:b w:val="0"/>
          <w:i w:val="0"/>
          <w:sz w:val="24"/>
        </w:rPr>
        <w:t xml:space="preserve"> mln zł (</w:t>
      </w:r>
      <w:r w:rsidR="00EB479D" w:rsidRPr="0058008E">
        <w:rPr>
          <w:rFonts w:ascii="Times New Roman" w:hAnsi="Times New Roman"/>
          <w:b w:val="0"/>
          <w:i w:val="0"/>
          <w:sz w:val="24"/>
        </w:rPr>
        <w:t>11,1</w:t>
      </w:r>
      <w:r w:rsidR="00CE303B" w:rsidRPr="0058008E">
        <w:rPr>
          <w:rFonts w:ascii="Times New Roman" w:hAnsi="Times New Roman"/>
          <w:b w:val="0"/>
          <w:i w:val="0"/>
          <w:sz w:val="24"/>
        </w:rPr>
        <w:t xml:space="preserve"> mln zł w 202</w:t>
      </w:r>
      <w:r w:rsidR="00EB479D" w:rsidRPr="0058008E">
        <w:rPr>
          <w:rFonts w:ascii="Times New Roman" w:hAnsi="Times New Roman"/>
          <w:b w:val="0"/>
          <w:i w:val="0"/>
          <w:sz w:val="24"/>
        </w:rPr>
        <w:t>4</w:t>
      </w:r>
      <w:r w:rsidR="00CE303B" w:rsidRPr="0058008E">
        <w:rPr>
          <w:rFonts w:ascii="Times New Roman" w:hAnsi="Times New Roman"/>
          <w:b w:val="0"/>
          <w:i w:val="0"/>
          <w:sz w:val="24"/>
        </w:rPr>
        <w:t xml:space="preserve"> roku,</w:t>
      </w:r>
      <w:r w:rsidR="00EB479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734CB" w:rsidRPr="0058008E">
        <w:rPr>
          <w:rFonts w:ascii="Times New Roman" w:hAnsi="Times New Roman"/>
          <w:b w:val="0"/>
          <w:i w:val="0"/>
          <w:sz w:val="24"/>
        </w:rPr>
        <w:t>9</w:t>
      </w:r>
      <w:r w:rsidR="0048082F" w:rsidRPr="0058008E">
        <w:rPr>
          <w:rFonts w:ascii="Times New Roman" w:hAnsi="Times New Roman"/>
          <w:b w:val="0"/>
          <w:i w:val="0"/>
          <w:sz w:val="24"/>
        </w:rPr>
        <w:t>,</w:t>
      </w:r>
      <w:r w:rsidR="00C734CB" w:rsidRPr="0058008E">
        <w:rPr>
          <w:rFonts w:ascii="Times New Roman" w:hAnsi="Times New Roman"/>
          <w:b w:val="0"/>
          <w:i w:val="0"/>
          <w:sz w:val="24"/>
        </w:rPr>
        <w:t>5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A024DC" w:rsidRPr="0058008E">
        <w:rPr>
          <w:rFonts w:ascii="Times New Roman" w:hAnsi="Times New Roman"/>
          <w:b w:val="0"/>
          <w:i w:val="0"/>
          <w:sz w:val="24"/>
        </w:rPr>
        <w:t xml:space="preserve"> w roku 20</w:t>
      </w:r>
      <w:r w:rsidR="0048082F" w:rsidRPr="0058008E">
        <w:rPr>
          <w:rFonts w:ascii="Times New Roman" w:hAnsi="Times New Roman"/>
          <w:b w:val="0"/>
          <w:i w:val="0"/>
          <w:sz w:val="24"/>
        </w:rPr>
        <w:t>2</w:t>
      </w:r>
      <w:r w:rsidR="00A2534A" w:rsidRPr="0058008E">
        <w:rPr>
          <w:rFonts w:ascii="Times New Roman" w:hAnsi="Times New Roman"/>
          <w:b w:val="0"/>
          <w:i w:val="0"/>
          <w:sz w:val="24"/>
        </w:rPr>
        <w:t>3</w:t>
      </w:r>
      <w:r w:rsidR="00844B64" w:rsidRPr="0058008E">
        <w:rPr>
          <w:rFonts w:ascii="Times New Roman" w:hAnsi="Times New Roman"/>
          <w:b w:val="0"/>
          <w:i w:val="0"/>
          <w:sz w:val="24"/>
        </w:rPr>
        <w:t>)</w:t>
      </w:r>
    </w:p>
    <w:p w14:paraId="40041BE6" w14:textId="4FC81F20" w:rsidR="001C2AD3" w:rsidRPr="0058008E" w:rsidRDefault="006128D0" w:rsidP="004A305B">
      <w:pPr>
        <w:pStyle w:val="Tekstpodstawowy2"/>
        <w:numPr>
          <w:ilvl w:val="0"/>
          <w:numId w:val="21"/>
        </w:numPr>
        <w:ind w:left="-76" w:firstLine="76"/>
        <w:rPr>
          <w:rFonts w:ascii="Times New Roman" w:hAnsi="Times New Roman"/>
          <w:b w:val="0"/>
          <w:i w:val="0"/>
          <w:sz w:val="24"/>
        </w:rPr>
      </w:pPr>
      <w:bookmarkStart w:id="7" w:name="_Hlk162428698"/>
      <w:r w:rsidRPr="0058008E">
        <w:rPr>
          <w:rFonts w:ascii="Times New Roman" w:hAnsi="Times New Roman"/>
          <w:b w:val="0"/>
          <w:i w:val="0"/>
          <w:sz w:val="24"/>
        </w:rPr>
        <w:t>o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dpłatnego nabycia prawa </w:t>
      </w:r>
      <w:r w:rsidR="00844B64" w:rsidRPr="0058008E">
        <w:rPr>
          <w:rFonts w:ascii="Times New Roman" w:hAnsi="Times New Roman"/>
          <w:b w:val="0"/>
          <w:i w:val="0"/>
          <w:sz w:val="24"/>
        </w:rPr>
        <w:t>własności,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gdzie wpłynęło </w:t>
      </w:r>
      <w:r w:rsidR="004A305B" w:rsidRPr="0058008E">
        <w:rPr>
          <w:rFonts w:ascii="Times New Roman" w:hAnsi="Times New Roman"/>
          <w:b w:val="0"/>
          <w:i w:val="0"/>
          <w:sz w:val="24"/>
        </w:rPr>
        <w:t>d</w:t>
      </w:r>
      <w:r w:rsidR="007D3136" w:rsidRPr="0058008E">
        <w:rPr>
          <w:rFonts w:ascii="Times New Roman" w:hAnsi="Times New Roman"/>
          <w:b w:val="0"/>
          <w:i w:val="0"/>
          <w:sz w:val="24"/>
        </w:rPr>
        <w:t>o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budżetu</w:t>
      </w:r>
      <w:r w:rsidR="004A305B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ponad</w:t>
      </w:r>
      <w:r w:rsidR="003B6607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B479D" w:rsidRPr="0058008E">
        <w:rPr>
          <w:rFonts w:ascii="Times New Roman" w:hAnsi="Times New Roman"/>
          <w:b w:val="0"/>
          <w:i w:val="0"/>
          <w:sz w:val="24"/>
        </w:rPr>
        <w:t>9</w:t>
      </w:r>
      <w:r w:rsidR="00A2534A" w:rsidRPr="0058008E">
        <w:rPr>
          <w:rFonts w:ascii="Times New Roman" w:hAnsi="Times New Roman"/>
          <w:b w:val="0"/>
          <w:i w:val="0"/>
          <w:sz w:val="24"/>
        </w:rPr>
        <w:t>,</w:t>
      </w:r>
      <w:r w:rsidR="00EB479D" w:rsidRPr="0058008E">
        <w:rPr>
          <w:rFonts w:ascii="Times New Roman" w:hAnsi="Times New Roman"/>
          <w:b w:val="0"/>
          <w:i w:val="0"/>
          <w:sz w:val="24"/>
        </w:rPr>
        <w:t>3</w:t>
      </w:r>
      <w:r w:rsidR="003B6401" w:rsidRPr="0058008E">
        <w:rPr>
          <w:rFonts w:ascii="Times New Roman" w:hAnsi="Times New Roman"/>
          <w:b w:val="0"/>
          <w:i w:val="0"/>
          <w:sz w:val="24"/>
        </w:rPr>
        <w:t xml:space="preserve"> mln zł (</w:t>
      </w:r>
      <w:r w:rsidR="00EB479D" w:rsidRPr="0058008E">
        <w:rPr>
          <w:rFonts w:ascii="Times New Roman" w:hAnsi="Times New Roman"/>
          <w:b w:val="0"/>
          <w:i w:val="0"/>
          <w:sz w:val="24"/>
        </w:rPr>
        <w:t>13,4</w:t>
      </w:r>
      <w:r w:rsidR="00CE303B" w:rsidRPr="0058008E">
        <w:rPr>
          <w:rFonts w:ascii="Times New Roman" w:hAnsi="Times New Roman"/>
          <w:b w:val="0"/>
          <w:i w:val="0"/>
          <w:sz w:val="24"/>
        </w:rPr>
        <w:t xml:space="preserve"> mln zł w poprzednim </w:t>
      </w:r>
      <w:r w:rsidR="00DC495C" w:rsidRPr="0058008E">
        <w:rPr>
          <w:rFonts w:ascii="Times New Roman" w:hAnsi="Times New Roman"/>
          <w:b w:val="0"/>
          <w:i w:val="0"/>
          <w:sz w:val="24"/>
        </w:rPr>
        <w:t>roku)</w:t>
      </w:r>
      <w:r w:rsidR="004A305B" w:rsidRPr="0058008E">
        <w:rPr>
          <w:rFonts w:ascii="Times New Roman" w:hAnsi="Times New Roman"/>
          <w:b w:val="0"/>
          <w:i w:val="0"/>
          <w:sz w:val="24"/>
        </w:rPr>
        <w:t>. Zbyto:</w:t>
      </w:r>
      <w:r w:rsidR="005F31E4" w:rsidRPr="0058008E">
        <w:rPr>
          <w:rFonts w:ascii="Times New Roman" w:hAnsi="Times New Roman"/>
          <w:b w:val="0"/>
          <w:i w:val="0"/>
          <w:sz w:val="24"/>
        </w:rPr>
        <w:t xml:space="preserve">     </w:t>
      </w:r>
    </w:p>
    <w:p w14:paraId="67805E52" w14:textId="1D12D741" w:rsidR="00CA3A07" w:rsidRPr="0058008E" w:rsidRDefault="00CA3A07" w:rsidP="00CA3A0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 xml:space="preserve">lokal niemieszkalny nr 4 przy </w:t>
      </w:r>
      <w:proofErr w:type="spellStart"/>
      <w:r w:rsidRPr="0058008E">
        <w:rPr>
          <w:sz w:val="24"/>
          <w:szCs w:val="24"/>
        </w:rPr>
        <w:t>ul.Wybickiego</w:t>
      </w:r>
      <w:proofErr w:type="spellEnd"/>
      <w:r w:rsidRPr="0058008E">
        <w:rPr>
          <w:sz w:val="24"/>
          <w:szCs w:val="24"/>
        </w:rPr>
        <w:t xml:space="preserve"> 45</w:t>
      </w:r>
    </w:p>
    <w:p w14:paraId="11F2722D" w14:textId="42EA0428" w:rsidR="00CA3A07" w:rsidRPr="0058008E" w:rsidRDefault="00CA3A07" w:rsidP="00CA3A0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bCs/>
          <w:sz w:val="24"/>
          <w:szCs w:val="24"/>
        </w:rPr>
        <w:t>ul. 3 Maja -  działka nr 169/19, obręb 34, obszaru 20 m² - garaż</w:t>
      </w:r>
    </w:p>
    <w:p w14:paraId="3EFAAC23" w14:textId="633C52BC" w:rsidR="00CA3A07" w:rsidRPr="0058008E" w:rsidRDefault="00CA3A07" w:rsidP="00CA3A0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ul. Abrahama - działki nr 67/3, 67/4, 67/5, 67/6, obszaru 121 m², 53 m², 335 m², 288 m²</w:t>
      </w:r>
    </w:p>
    <w:p w14:paraId="3FBF5060" w14:textId="77777777" w:rsidR="00CA3A07" w:rsidRPr="0058008E" w:rsidRDefault="00CA3A07" w:rsidP="00CA3A0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ul. Obrońców Westerplatte - działka nr 68/19, obręb 23, obszaru 3 m²</w:t>
      </w:r>
    </w:p>
    <w:p w14:paraId="05100249" w14:textId="297B4EAA" w:rsidR="00CA3A07" w:rsidRPr="0058008E" w:rsidRDefault="00CA3A07" w:rsidP="00CA3A0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ul. 3 Maja  56 - działka nr 125, obręb 31, obszaru 50 m²</w:t>
      </w:r>
    </w:p>
    <w:p w14:paraId="5234675D" w14:textId="459484B0" w:rsidR="00CA3A07" w:rsidRPr="0058008E" w:rsidRDefault="00CA3A07" w:rsidP="00CA3A0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ul. Smolna 1C - działka nr  4/5, obręb 48, obszaru 293 m²</w:t>
      </w:r>
    </w:p>
    <w:p w14:paraId="3F6E2CA4" w14:textId="3A89F8F4" w:rsidR="00CA3A07" w:rsidRPr="0058008E" w:rsidRDefault="00CA3A07" w:rsidP="00CA3A0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al. Niepodległości - działki nr 3/12, 3/16, obręb 31, obszaru 59 m², 8 m²</w:t>
      </w:r>
    </w:p>
    <w:p w14:paraId="00B35F9B" w14:textId="3248341F" w:rsidR="00CA3A07" w:rsidRPr="0058008E" w:rsidRDefault="00CA3A07" w:rsidP="00CA3A0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al. Niepodległości 781 - działki nr 112/1, 112/4, obszaru 681 m², 49 m²</w:t>
      </w:r>
    </w:p>
    <w:p w14:paraId="6BA96509" w14:textId="77777777" w:rsidR="0058008E" w:rsidRPr="0058008E" w:rsidRDefault="00CA3A07" w:rsidP="0058008E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ul. Wejherowska 11 - działka nr 189/2, obręb 6, obszaru 378 m²</w:t>
      </w:r>
    </w:p>
    <w:p w14:paraId="27532136" w14:textId="7C5889BF" w:rsidR="00CA3A07" w:rsidRPr="0058008E" w:rsidRDefault="00CA3A07" w:rsidP="0058008E">
      <w:pPr>
        <w:pStyle w:val="Akapitzlist"/>
        <w:numPr>
          <w:ilvl w:val="0"/>
          <w:numId w:val="33"/>
        </w:numPr>
        <w:ind w:left="709" w:hanging="425"/>
        <w:jc w:val="both"/>
        <w:rPr>
          <w:sz w:val="24"/>
          <w:szCs w:val="24"/>
        </w:rPr>
      </w:pPr>
      <w:r w:rsidRPr="0058008E">
        <w:rPr>
          <w:sz w:val="24"/>
          <w:szCs w:val="24"/>
        </w:rPr>
        <w:t xml:space="preserve">ul. Krasickiego – działka nr 126/23, obręb 27, obszaru 20 m² </w:t>
      </w:r>
    </w:p>
    <w:p w14:paraId="3B2DE3AB" w14:textId="3A3D5DE8" w:rsidR="00CA3A07" w:rsidRPr="0058008E" w:rsidRDefault="00CA3A07" w:rsidP="0058008E">
      <w:pPr>
        <w:pStyle w:val="Akapitzlist"/>
        <w:numPr>
          <w:ilvl w:val="0"/>
          <w:numId w:val="33"/>
        </w:numPr>
        <w:ind w:left="709" w:hanging="425"/>
        <w:jc w:val="both"/>
        <w:rPr>
          <w:sz w:val="24"/>
          <w:szCs w:val="24"/>
        </w:rPr>
      </w:pPr>
      <w:r w:rsidRPr="0058008E">
        <w:rPr>
          <w:sz w:val="24"/>
          <w:szCs w:val="24"/>
        </w:rPr>
        <w:t>ul. Obrońców Westerplatte - działka 68/15, obręb 23, obszaru 90 m²</w:t>
      </w:r>
    </w:p>
    <w:p w14:paraId="6B97887E" w14:textId="2A31B614" w:rsidR="00CA3A07" w:rsidRPr="0058008E" w:rsidRDefault="00CA3A07" w:rsidP="0058008E">
      <w:pPr>
        <w:pStyle w:val="Akapitzlist"/>
        <w:numPr>
          <w:ilvl w:val="0"/>
          <w:numId w:val="33"/>
        </w:numPr>
        <w:ind w:left="709" w:hanging="425"/>
        <w:jc w:val="both"/>
        <w:rPr>
          <w:sz w:val="24"/>
          <w:szCs w:val="24"/>
        </w:rPr>
      </w:pPr>
      <w:r w:rsidRPr="0058008E">
        <w:rPr>
          <w:sz w:val="24"/>
          <w:szCs w:val="24"/>
        </w:rPr>
        <w:t xml:space="preserve">ul. </w:t>
      </w:r>
      <w:proofErr w:type="spellStart"/>
      <w:r w:rsidRPr="0058008E">
        <w:rPr>
          <w:sz w:val="24"/>
          <w:szCs w:val="24"/>
        </w:rPr>
        <w:t>Obodrzyców</w:t>
      </w:r>
      <w:proofErr w:type="spellEnd"/>
      <w:r w:rsidRPr="0058008E">
        <w:rPr>
          <w:sz w:val="24"/>
          <w:szCs w:val="24"/>
        </w:rPr>
        <w:t xml:space="preserve">  15 - działka 103/23, obręb 6, obszaru 950 m².</w:t>
      </w:r>
    </w:p>
    <w:p w14:paraId="6C2F6E0F" w14:textId="42AF6CC5" w:rsidR="00D4744D" w:rsidRPr="0058008E" w:rsidRDefault="00D4744D" w:rsidP="00CA3A07">
      <w:pPr>
        <w:jc w:val="both"/>
        <w:rPr>
          <w:color w:val="EE0000"/>
          <w:sz w:val="24"/>
          <w:szCs w:val="24"/>
        </w:rPr>
      </w:pPr>
    </w:p>
    <w:p w14:paraId="6CA48F46" w14:textId="1E95EE52" w:rsidR="006128D0" w:rsidRPr="0058008E" w:rsidRDefault="006128D0" w:rsidP="00CA3A07">
      <w:pPr>
        <w:jc w:val="both"/>
        <w:rPr>
          <w:sz w:val="24"/>
          <w:szCs w:val="24"/>
        </w:rPr>
      </w:pPr>
      <w:r w:rsidRPr="0058008E">
        <w:rPr>
          <w:sz w:val="24"/>
          <w:szCs w:val="24"/>
        </w:rPr>
        <w:t>Lokal użytkowy przy Al. Niepodległości 671-671A nie znalazł nabywcy, podobnie jak nieruchomość przy ul. Abrahama 24b</w:t>
      </w:r>
      <w:r w:rsidR="00CA3A07" w:rsidRPr="0058008E">
        <w:rPr>
          <w:sz w:val="24"/>
          <w:szCs w:val="24"/>
        </w:rPr>
        <w:t xml:space="preserve"> oraz lokal niemieszkalny przy ul. Bohaterów Monte Cassino 26</w:t>
      </w:r>
    </w:p>
    <w:p w14:paraId="4F77A551" w14:textId="79E3B6FD" w:rsidR="005A4F17" w:rsidRPr="0058008E" w:rsidRDefault="00B65D28" w:rsidP="00F05FD1">
      <w:pPr>
        <w:jc w:val="both"/>
        <w:rPr>
          <w:sz w:val="24"/>
          <w:szCs w:val="24"/>
        </w:rPr>
      </w:pPr>
      <w:r w:rsidRPr="0058008E">
        <w:rPr>
          <w:sz w:val="24"/>
          <w:szCs w:val="24"/>
        </w:rPr>
        <w:lastRenderedPageBreak/>
        <w:t xml:space="preserve">Na wysokość uzyskanego dochodu z tytułu </w:t>
      </w:r>
      <w:r w:rsidR="00C366AC" w:rsidRPr="0058008E">
        <w:rPr>
          <w:sz w:val="24"/>
          <w:szCs w:val="24"/>
        </w:rPr>
        <w:t>w/</w:t>
      </w:r>
      <w:r w:rsidR="006128D0" w:rsidRPr="0058008E">
        <w:rPr>
          <w:sz w:val="24"/>
          <w:szCs w:val="24"/>
        </w:rPr>
        <w:t>w</w:t>
      </w:r>
      <w:r w:rsidR="00C366AC" w:rsidRPr="0058008E">
        <w:rPr>
          <w:sz w:val="24"/>
          <w:szCs w:val="24"/>
        </w:rPr>
        <w:t xml:space="preserve"> </w:t>
      </w:r>
      <w:r w:rsidRPr="0058008E">
        <w:rPr>
          <w:sz w:val="24"/>
          <w:szCs w:val="24"/>
        </w:rPr>
        <w:t xml:space="preserve">sprzedaży nieruchomości wpływ miały także spłaty rat ze sprzedaży nieruchomości mających miejsce w latach ubiegłych oraz należności z tytułu ustanowionych służebności gruntowych i </w:t>
      </w:r>
      <w:proofErr w:type="spellStart"/>
      <w:r w:rsidRPr="0058008E">
        <w:rPr>
          <w:sz w:val="24"/>
          <w:szCs w:val="24"/>
        </w:rPr>
        <w:t>przesyłu</w:t>
      </w:r>
      <w:proofErr w:type="spellEnd"/>
      <w:r w:rsidR="00B25222" w:rsidRPr="0058008E">
        <w:rPr>
          <w:sz w:val="24"/>
          <w:szCs w:val="24"/>
        </w:rPr>
        <w:t>.</w:t>
      </w:r>
    </w:p>
    <w:bookmarkEnd w:id="7"/>
    <w:p w14:paraId="0B5B64B8" w14:textId="1AAECEDE" w:rsidR="004A305B" w:rsidRPr="0058008E" w:rsidRDefault="006C0285" w:rsidP="00CA3A07">
      <w:pPr>
        <w:pStyle w:val="Akapitzlist"/>
        <w:numPr>
          <w:ilvl w:val="0"/>
          <w:numId w:val="21"/>
        </w:numPr>
        <w:spacing w:after="200"/>
        <w:ind w:left="142" w:hanging="283"/>
        <w:contextualSpacing/>
        <w:jc w:val="both"/>
        <w:rPr>
          <w:sz w:val="24"/>
          <w:szCs w:val="24"/>
        </w:rPr>
      </w:pPr>
      <w:r w:rsidRPr="0058008E">
        <w:rPr>
          <w:sz w:val="24"/>
        </w:rPr>
        <w:t xml:space="preserve">przekształcenia prawa użytkowania wieczystego w prawo </w:t>
      </w:r>
      <w:r w:rsidR="00372DC9" w:rsidRPr="0058008E">
        <w:rPr>
          <w:sz w:val="24"/>
        </w:rPr>
        <w:t>własności, które wynio</w:t>
      </w:r>
      <w:r w:rsidR="003B6401" w:rsidRPr="0058008E">
        <w:rPr>
          <w:sz w:val="24"/>
        </w:rPr>
        <w:t>sło w 20</w:t>
      </w:r>
      <w:r w:rsidR="003C3C8B" w:rsidRPr="0058008E">
        <w:rPr>
          <w:sz w:val="24"/>
        </w:rPr>
        <w:t>2</w:t>
      </w:r>
      <w:r w:rsidR="00E03D0C" w:rsidRPr="0058008E">
        <w:rPr>
          <w:sz w:val="24"/>
        </w:rPr>
        <w:t>5</w:t>
      </w:r>
      <w:r w:rsidRPr="0058008E">
        <w:rPr>
          <w:sz w:val="24"/>
        </w:rPr>
        <w:t xml:space="preserve"> r.</w:t>
      </w:r>
      <w:r w:rsidR="00A024DC" w:rsidRPr="0058008E">
        <w:rPr>
          <w:sz w:val="24"/>
        </w:rPr>
        <w:t xml:space="preserve"> </w:t>
      </w:r>
      <w:r w:rsidR="0048082F" w:rsidRPr="0058008E">
        <w:rPr>
          <w:sz w:val="24"/>
        </w:rPr>
        <w:t>1</w:t>
      </w:r>
      <w:r w:rsidR="00A024DC" w:rsidRPr="0058008E">
        <w:rPr>
          <w:sz w:val="24"/>
        </w:rPr>
        <w:t>,</w:t>
      </w:r>
      <w:r w:rsidR="00E03D0C" w:rsidRPr="0058008E">
        <w:rPr>
          <w:sz w:val="24"/>
        </w:rPr>
        <w:t xml:space="preserve">4 </w:t>
      </w:r>
      <w:r w:rsidR="00A024DC" w:rsidRPr="0058008E">
        <w:rPr>
          <w:sz w:val="24"/>
        </w:rPr>
        <w:t>mln</w:t>
      </w:r>
      <w:r w:rsidR="00372DC9" w:rsidRPr="0058008E">
        <w:rPr>
          <w:sz w:val="24"/>
        </w:rPr>
        <w:t xml:space="preserve"> zł</w:t>
      </w:r>
      <w:r w:rsidR="00372DC9" w:rsidRPr="0058008E">
        <w:rPr>
          <w:rStyle w:val="Odwoanieprzypisudolnego"/>
          <w:sz w:val="24"/>
        </w:rPr>
        <w:footnoteReference w:id="12"/>
      </w:r>
      <w:r w:rsidR="00127F55" w:rsidRPr="0058008E">
        <w:rPr>
          <w:sz w:val="24"/>
        </w:rPr>
        <w:t>.</w:t>
      </w:r>
      <w:r w:rsidR="003D3E5E" w:rsidRPr="0058008E">
        <w:rPr>
          <w:sz w:val="24"/>
        </w:rPr>
        <w:t xml:space="preserve"> Oprócz bieżących wpłat na dochód ten składają się również uiszczone raty za przekształcenie w poprzednich latach.</w:t>
      </w:r>
    </w:p>
    <w:p w14:paraId="7BA5C230" w14:textId="0CB9A552" w:rsidR="00E24964" w:rsidRPr="0058008E" w:rsidRDefault="006C0285" w:rsidP="006128D0">
      <w:pPr>
        <w:tabs>
          <w:tab w:val="left" w:pos="5678"/>
        </w:tabs>
        <w:ind w:left="360"/>
        <w:jc w:val="both"/>
        <w:rPr>
          <w:b/>
          <w:i/>
          <w:sz w:val="24"/>
        </w:rPr>
      </w:pPr>
      <w:r w:rsidRPr="0058008E">
        <w:rPr>
          <w:sz w:val="24"/>
        </w:rPr>
        <w:t>Wykonane z tych t</w:t>
      </w:r>
      <w:r w:rsidR="00E24964" w:rsidRPr="0058008E">
        <w:rPr>
          <w:sz w:val="24"/>
        </w:rPr>
        <w:t>ytułów dochody ujęto poniżej w t</w:t>
      </w:r>
      <w:r w:rsidRPr="0058008E">
        <w:rPr>
          <w:sz w:val="24"/>
        </w:rPr>
        <w:t xml:space="preserve">abeli </w:t>
      </w:r>
      <w:r w:rsidR="00E24964" w:rsidRPr="0058008E">
        <w:rPr>
          <w:sz w:val="24"/>
        </w:rPr>
        <w:t>IV</w:t>
      </w:r>
      <w:r w:rsidRPr="0058008E">
        <w:rPr>
          <w:sz w:val="24"/>
        </w:rPr>
        <w:t xml:space="preserve">.   </w:t>
      </w:r>
    </w:p>
    <w:p w14:paraId="3D7A0659" w14:textId="54301889" w:rsidR="006C0285" w:rsidRPr="0058008E" w:rsidRDefault="0073460D" w:rsidP="006128D0">
      <w:pPr>
        <w:pStyle w:val="Tekstpodstawowy2"/>
        <w:rPr>
          <w:rFonts w:ascii="Times New Roman" w:hAnsi="Times New Roman"/>
          <w:b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</w:rPr>
        <w:t xml:space="preserve">      </w:t>
      </w:r>
      <w:r w:rsidR="006C0285" w:rsidRPr="0058008E">
        <w:rPr>
          <w:rFonts w:ascii="Times New Roman" w:hAnsi="Times New Roman"/>
          <w:b w:val="0"/>
          <w:i w:val="0"/>
          <w:color w:val="EE0000"/>
        </w:rPr>
        <w:t xml:space="preserve">                                                                                                </w:t>
      </w:r>
      <w:r w:rsidR="006C0285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6128D0"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="006128D0"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="006C0285" w:rsidRPr="0058008E">
        <w:rPr>
          <w:rFonts w:ascii="Times New Roman" w:hAnsi="Times New Roman"/>
          <w:b w:val="0"/>
          <w:i w:val="0"/>
          <w:sz w:val="24"/>
        </w:rPr>
        <w:t>Tab.</w:t>
      </w:r>
      <w:r w:rsidR="00E2496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I</w:t>
      </w:r>
      <w:r w:rsidR="00E24964" w:rsidRPr="0058008E">
        <w:rPr>
          <w:rFonts w:ascii="Times New Roman" w:hAnsi="Times New Roman"/>
          <w:b w:val="0"/>
          <w:i w:val="0"/>
          <w:sz w:val="24"/>
        </w:rPr>
        <w:t>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415"/>
        <w:gridCol w:w="1840"/>
        <w:gridCol w:w="1672"/>
      </w:tblGrid>
      <w:tr w:rsidR="003A056D" w:rsidRPr="0058008E" w14:paraId="6B632721" w14:textId="77777777" w:rsidTr="00335ECE">
        <w:trPr>
          <w:trHeight w:val="66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405" w14:textId="77777777" w:rsidR="006C0285" w:rsidRPr="0058008E" w:rsidRDefault="006C0285" w:rsidP="00F07667">
            <w:pPr>
              <w:pStyle w:val="Tekstpodstawowy2"/>
              <w:ind w:right="-240"/>
              <w:rPr>
                <w:rFonts w:ascii="Times New Roman" w:hAnsi="Times New Roman"/>
                <w:i w:val="0"/>
              </w:rPr>
            </w:pPr>
          </w:p>
          <w:p w14:paraId="2CD3C592" w14:textId="77777777" w:rsidR="006C0285" w:rsidRPr="0058008E" w:rsidRDefault="006C0285" w:rsidP="00F07667">
            <w:pPr>
              <w:pStyle w:val="Tekstpodstawowy2"/>
              <w:ind w:right="-240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Wpływy z gospodarowania składnikami majątkowymi Miasta Sopotu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CE4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</w:p>
          <w:p w14:paraId="21DFE247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 xml:space="preserve">Prognoza roczna </w:t>
            </w:r>
          </w:p>
          <w:p w14:paraId="24F88367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(w zł)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670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</w:p>
          <w:p w14:paraId="62908697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Wykonanie roczne</w:t>
            </w:r>
          </w:p>
          <w:p w14:paraId="5D882B17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(w zł)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0232" w14:textId="77777777" w:rsidR="006C0285" w:rsidRPr="0058008E" w:rsidRDefault="006C0285" w:rsidP="00F07667">
            <w:pPr>
              <w:pStyle w:val="Tekstpodstawowy2"/>
              <w:ind w:right="-240"/>
              <w:jc w:val="center"/>
              <w:rPr>
                <w:rFonts w:ascii="Times New Roman" w:hAnsi="Times New Roman"/>
                <w:i w:val="0"/>
              </w:rPr>
            </w:pPr>
            <w:r w:rsidRPr="0058008E">
              <w:rPr>
                <w:rFonts w:ascii="Times New Roman" w:hAnsi="Times New Roman"/>
                <w:i w:val="0"/>
              </w:rPr>
              <w:t>% wykonania</w:t>
            </w:r>
          </w:p>
        </w:tc>
      </w:tr>
      <w:tr w:rsidR="003A056D" w:rsidRPr="0058008E" w14:paraId="47A00F8C" w14:textId="77777777" w:rsidTr="00335ECE">
        <w:trPr>
          <w:trHeight w:val="66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D90" w14:textId="77777777" w:rsidR="006C0285" w:rsidRPr="0058008E" w:rsidRDefault="00077BC4" w:rsidP="00F07667">
            <w:pPr>
              <w:pStyle w:val="Tekstpodstawowy2"/>
              <w:rPr>
                <w:rFonts w:ascii="Times New Roman" w:hAnsi="Times New Roman"/>
                <w:b w:val="0"/>
                <w:i w:val="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Wpływy z użytkowania</w:t>
            </w:r>
            <w:r w:rsidR="006C0285"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wieczyste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go nieruchomości</w:t>
            </w:r>
            <w:r w:rsidR="00D245D1"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1D4" w14:textId="7CB4BC5E" w:rsidR="006C0285" w:rsidRPr="0058008E" w:rsidRDefault="006676F8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11.000.000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B6CC" w14:textId="05C021FC" w:rsidR="006C0285" w:rsidRPr="0058008E" w:rsidRDefault="006676F8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10.590.652</w:t>
            </w:r>
            <w:r w:rsidR="006C0285"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A692" w14:textId="4E2D39F0" w:rsidR="006C0285" w:rsidRPr="0058008E" w:rsidRDefault="006676F8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96,28</w:t>
            </w:r>
            <w:r w:rsidR="006C0285"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</w:t>
            </w:r>
          </w:p>
        </w:tc>
      </w:tr>
      <w:tr w:rsidR="003A056D" w:rsidRPr="0058008E" w14:paraId="2EC454E4" w14:textId="77777777" w:rsidTr="00335ECE">
        <w:trPr>
          <w:trHeight w:val="66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45E6" w14:textId="77777777" w:rsidR="006C0285" w:rsidRPr="0058008E" w:rsidRDefault="006C0285" w:rsidP="00F07667">
            <w:pPr>
              <w:pStyle w:val="Tekstpodstawowy2"/>
              <w:jc w:val="both"/>
              <w:rPr>
                <w:rFonts w:ascii="Times New Roman" w:hAnsi="Times New Roman"/>
                <w:i w:val="0"/>
                <w:sz w:val="18"/>
              </w:rPr>
            </w:pPr>
          </w:p>
          <w:p w14:paraId="146372CE" w14:textId="77777777" w:rsidR="006C0285" w:rsidRPr="0058008E" w:rsidRDefault="006C0285" w:rsidP="00F07667">
            <w:pPr>
              <w:pStyle w:val="Tekstpodstawowy2"/>
              <w:rPr>
                <w:rFonts w:ascii="Times New Roman" w:hAnsi="Times New Roman"/>
                <w:b w:val="0"/>
                <w:i w:val="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Wpływy z tytułu przekształcenia prawa użytkowania wieczystego</w:t>
            </w:r>
            <w:r w:rsidR="001F3287"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-</w:t>
            </w:r>
            <w:r w:rsidR="00AA1271"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raty z lat poprzednich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</w:t>
            </w:r>
          </w:p>
          <w:p w14:paraId="4638120A" w14:textId="77777777" w:rsidR="006C0285" w:rsidRPr="0058008E" w:rsidRDefault="006C0285" w:rsidP="00F07667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16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53A" w14:textId="20417C7F" w:rsidR="006C0285" w:rsidRPr="0058008E" w:rsidRDefault="00EF0BBB" w:rsidP="00EF0BBB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1.</w:t>
            </w:r>
            <w:r w:rsidR="00AF384C" w:rsidRPr="0058008E">
              <w:rPr>
                <w:rFonts w:ascii="Times New Roman" w:hAnsi="Times New Roman"/>
                <w:b w:val="0"/>
                <w:i w:val="0"/>
                <w:sz w:val="18"/>
              </w:rPr>
              <w:t>500</w:t>
            </w:r>
            <w:r w:rsidR="00EE2D33" w:rsidRPr="0058008E">
              <w:rPr>
                <w:rFonts w:ascii="Times New Roman" w:hAnsi="Times New Roman"/>
                <w:b w:val="0"/>
                <w:i w:val="0"/>
                <w:sz w:val="18"/>
              </w:rPr>
              <w:t>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BFB" w14:textId="17D4DCCC" w:rsidR="006C0285" w:rsidRPr="0058008E" w:rsidRDefault="00AF384C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1.354.003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840A" w14:textId="671FEB94" w:rsidR="006C0285" w:rsidRPr="0058008E" w:rsidRDefault="00AF384C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90,27</w:t>
            </w:r>
            <w:r w:rsidR="006C0285"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</w:t>
            </w:r>
          </w:p>
        </w:tc>
      </w:tr>
      <w:tr w:rsidR="003A056D" w:rsidRPr="0058008E" w14:paraId="74AEAC42" w14:textId="77777777" w:rsidTr="00335ECE">
        <w:trPr>
          <w:trHeight w:val="66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7FD3" w14:textId="77777777" w:rsidR="006C0285" w:rsidRPr="0058008E" w:rsidRDefault="006C0285" w:rsidP="00F07667">
            <w:pPr>
              <w:pStyle w:val="Tekstpodstawowy2"/>
              <w:rPr>
                <w:rFonts w:ascii="Times New Roman" w:hAnsi="Times New Roman"/>
                <w:b w:val="0"/>
                <w:i w:val="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Wpływy z tytułu odpłatnego nabycia prawa własności oraz prawa użytkowania wieczystego nieruchomości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90E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</w:rPr>
            </w:pPr>
          </w:p>
          <w:p w14:paraId="69C74B09" w14:textId="77777777" w:rsidR="006C0285" w:rsidRPr="0058008E" w:rsidRDefault="006C0285" w:rsidP="00F07667">
            <w:pPr>
              <w:pStyle w:val="Tekstpodstawowy2"/>
              <w:rPr>
                <w:rFonts w:ascii="Times New Roman" w:hAnsi="Times New Roman"/>
                <w:b w:val="0"/>
                <w:i w:val="0"/>
                <w:sz w:val="18"/>
              </w:rPr>
            </w:pPr>
          </w:p>
          <w:p w14:paraId="1D968704" w14:textId="40EF8E2A" w:rsidR="006C0285" w:rsidRPr="0058008E" w:rsidRDefault="006676F8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49</w:t>
            </w:r>
            <w:r w:rsidR="00EE2D33" w:rsidRPr="0058008E">
              <w:rPr>
                <w:rFonts w:ascii="Times New Roman" w:hAnsi="Times New Roman"/>
                <w:b w:val="0"/>
                <w:i w:val="0"/>
                <w:sz w:val="18"/>
              </w:rPr>
              <w:t>.000.000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9C3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</w:p>
          <w:p w14:paraId="00D4385B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</w:p>
          <w:p w14:paraId="6882BEB7" w14:textId="269A6B7E" w:rsidR="006C0285" w:rsidRPr="0058008E" w:rsidRDefault="006676F8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9.255.176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381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</w:p>
          <w:p w14:paraId="4FEB1F49" w14:textId="77777777" w:rsidR="006C0285" w:rsidRPr="0058008E" w:rsidRDefault="006C0285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</w:p>
          <w:p w14:paraId="0A1C2471" w14:textId="24AFBEBF" w:rsidR="006C0285" w:rsidRPr="0058008E" w:rsidRDefault="006676F8" w:rsidP="00F07667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color w:val="EE0000"/>
                <w:sz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</w:rPr>
              <w:t>18,89</w:t>
            </w:r>
            <w:r w:rsidR="006C0285" w:rsidRPr="0058008E">
              <w:rPr>
                <w:rFonts w:ascii="Times New Roman" w:hAnsi="Times New Roman"/>
                <w:b w:val="0"/>
                <w:i w:val="0"/>
                <w:sz w:val="18"/>
              </w:rPr>
              <w:t xml:space="preserve"> </w:t>
            </w:r>
          </w:p>
        </w:tc>
      </w:tr>
      <w:tr w:rsidR="006C0285" w:rsidRPr="0058008E" w14:paraId="3AC0FFE6" w14:textId="77777777" w:rsidTr="00335ECE">
        <w:trPr>
          <w:trHeight w:val="23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5C6E" w14:textId="77777777" w:rsidR="006C0285" w:rsidRPr="0058008E" w:rsidRDefault="006C0285" w:rsidP="00F07667">
            <w:pPr>
              <w:pStyle w:val="Tekstpodstawowy2"/>
              <w:rPr>
                <w:rFonts w:ascii="Times New Roman" w:hAnsi="Times New Roman"/>
                <w:i w:val="0"/>
                <w:color w:val="EE0000"/>
              </w:rPr>
            </w:pPr>
            <w:r w:rsidRPr="0058008E">
              <w:rPr>
                <w:rFonts w:ascii="Times New Roman" w:hAnsi="Times New Roman"/>
                <w:i w:val="0"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DCED" w14:textId="56B1ED75" w:rsidR="006C0285" w:rsidRPr="0058008E" w:rsidRDefault="006F7272" w:rsidP="00F07667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</w:rPr>
            </w:pPr>
            <w:r w:rsidRPr="0058008E">
              <w:rPr>
                <w:rFonts w:ascii="Times New Roman" w:hAnsi="Times New Roman"/>
                <w:i w:val="0"/>
              </w:rPr>
              <w:t>61.500.000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868" w14:textId="7CAFDFC2" w:rsidR="006C0285" w:rsidRPr="0058008E" w:rsidRDefault="006F7272" w:rsidP="00F07667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</w:rPr>
            </w:pPr>
            <w:r w:rsidRPr="0058008E">
              <w:rPr>
                <w:rFonts w:ascii="Times New Roman" w:hAnsi="Times New Roman"/>
                <w:i w:val="0"/>
              </w:rPr>
              <w:t>21.199.831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AC1F" w14:textId="670C08BE" w:rsidR="006C0285" w:rsidRPr="0058008E" w:rsidRDefault="00E03D0C" w:rsidP="00F07667">
            <w:pPr>
              <w:pStyle w:val="Tekstpodstawowy2"/>
              <w:jc w:val="center"/>
              <w:rPr>
                <w:rFonts w:ascii="Times New Roman" w:hAnsi="Times New Roman"/>
                <w:i w:val="0"/>
                <w:color w:val="EE0000"/>
              </w:rPr>
            </w:pPr>
            <w:r w:rsidRPr="0058008E">
              <w:rPr>
                <w:rFonts w:ascii="Times New Roman" w:hAnsi="Times New Roman"/>
                <w:i w:val="0"/>
              </w:rPr>
              <w:t>34,47</w:t>
            </w:r>
          </w:p>
        </w:tc>
      </w:tr>
    </w:tbl>
    <w:p w14:paraId="5CBC5F4A" w14:textId="77777777" w:rsidR="008C538B" w:rsidRPr="0058008E" w:rsidRDefault="008C538B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41A08016" w14:textId="2F21D59B" w:rsidR="006C0285" w:rsidRPr="0058008E" w:rsidRDefault="006C0285" w:rsidP="00FB421D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Dochody z </w:t>
      </w:r>
      <w:r w:rsidRPr="0058008E">
        <w:rPr>
          <w:rFonts w:ascii="Times New Roman" w:hAnsi="Times New Roman"/>
          <w:i w:val="0"/>
          <w:sz w:val="24"/>
        </w:rPr>
        <w:t>majątku miasta</w:t>
      </w:r>
      <w:r w:rsidRPr="0058008E">
        <w:rPr>
          <w:rFonts w:ascii="Times New Roman" w:hAnsi="Times New Roman"/>
          <w:b w:val="0"/>
          <w:i w:val="0"/>
          <w:sz w:val="24"/>
        </w:rPr>
        <w:t xml:space="preserve"> to również </w:t>
      </w:r>
      <w:r w:rsidR="00502841" w:rsidRPr="0058008E">
        <w:rPr>
          <w:rFonts w:ascii="Times New Roman" w:hAnsi="Times New Roman"/>
          <w:b w:val="0"/>
          <w:i w:val="0"/>
          <w:sz w:val="24"/>
        </w:rPr>
        <w:t>wpływy z tyt.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B421D" w:rsidRPr="0058008E">
        <w:rPr>
          <w:rFonts w:ascii="Times New Roman" w:hAnsi="Times New Roman"/>
          <w:b w:val="0"/>
          <w:i w:val="0"/>
          <w:sz w:val="24"/>
        </w:rPr>
        <w:t>jego</w:t>
      </w:r>
      <w:r w:rsidR="00D67C1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najmu i </w:t>
      </w:r>
      <w:r w:rsidR="00B1453C" w:rsidRPr="0058008E">
        <w:rPr>
          <w:rFonts w:ascii="Times New Roman" w:hAnsi="Times New Roman"/>
          <w:b w:val="0"/>
          <w:i w:val="0"/>
          <w:sz w:val="24"/>
        </w:rPr>
        <w:t>dzierżawy, które</w:t>
      </w:r>
      <w:r w:rsidRPr="0058008E">
        <w:rPr>
          <w:rFonts w:ascii="Times New Roman" w:hAnsi="Times New Roman"/>
          <w:b w:val="0"/>
          <w:i w:val="0"/>
          <w:sz w:val="24"/>
        </w:rPr>
        <w:t xml:space="preserve"> znacząco wpłynęły na poziom realizacji dochodów bu</w:t>
      </w:r>
      <w:r w:rsidR="008761E1" w:rsidRPr="0058008E">
        <w:rPr>
          <w:rFonts w:ascii="Times New Roman" w:hAnsi="Times New Roman"/>
          <w:b w:val="0"/>
          <w:i w:val="0"/>
          <w:sz w:val="24"/>
        </w:rPr>
        <w:t>dżetowych</w:t>
      </w:r>
      <w:r w:rsidR="00001D5C" w:rsidRPr="0058008E">
        <w:rPr>
          <w:rFonts w:ascii="Times New Roman" w:hAnsi="Times New Roman"/>
          <w:b w:val="0"/>
          <w:i w:val="0"/>
          <w:sz w:val="24"/>
        </w:rPr>
        <w:t>.</w:t>
      </w:r>
      <w:r w:rsidR="008761E1" w:rsidRPr="0058008E">
        <w:rPr>
          <w:rFonts w:ascii="Times New Roman" w:hAnsi="Times New Roman"/>
          <w:b w:val="0"/>
          <w:i w:val="0"/>
          <w:sz w:val="24"/>
        </w:rPr>
        <w:t xml:space="preserve"> Osiągnęły </w:t>
      </w:r>
      <w:r w:rsidR="00D67C19" w:rsidRPr="0058008E">
        <w:rPr>
          <w:rFonts w:ascii="Times New Roman" w:hAnsi="Times New Roman"/>
          <w:b w:val="0"/>
          <w:i w:val="0"/>
          <w:sz w:val="24"/>
        </w:rPr>
        <w:t xml:space="preserve">one </w:t>
      </w:r>
      <w:r w:rsidR="008761E1" w:rsidRPr="0058008E">
        <w:rPr>
          <w:rFonts w:ascii="Times New Roman" w:hAnsi="Times New Roman"/>
          <w:b w:val="0"/>
          <w:i w:val="0"/>
          <w:sz w:val="24"/>
        </w:rPr>
        <w:t xml:space="preserve">wielkość </w:t>
      </w:r>
      <w:r w:rsidR="00E03D0C" w:rsidRPr="0058008E">
        <w:rPr>
          <w:rFonts w:ascii="Times New Roman" w:hAnsi="Times New Roman"/>
          <w:b w:val="0"/>
          <w:i w:val="0"/>
          <w:sz w:val="24"/>
        </w:rPr>
        <w:t>41</w:t>
      </w:r>
      <w:r w:rsidR="0003131B" w:rsidRPr="0058008E">
        <w:rPr>
          <w:rFonts w:ascii="Times New Roman" w:hAnsi="Times New Roman"/>
          <w:b w:val="0"/>
          <w:i w:val="0"/>
          <w:sz w:val="24"/>
        </w:rPr>
        <w:t>,</w:t>
      </w:r>
      <w:r w:rsidR="00E03D0C" w:rsidRPr="0058008E">
        <w:rPr>
          <w:rFonts w:ascii="Times New Roman" w:hAnsi="Times New Roman"/>
          <w:b w:val="0"/>
          <w:i w:val="0"/>
          <w:sz w:val="24"/>
        </w:rPr>
        <w:t>3</w:t>
      </w:r>
      <w:r w:rsidR="00F877FC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624027" w:rsidRPr="0058008E">
        <w:rPr>
          <w:rFonts w:ascii="Times New Roman" w:hAnsi="Times New Roman"/>
          <w:b w:val="0"/>
          <w:i w:val="0"/>
          <w:sz w:val="24"/>
        </w:rPr>
        <w:t>.</w:t>
      </w:r>
      <w:r w:rsidR="00F877FC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455E9C8A" w14:textId="77777777" w:rsidR="00033F97" w:rsidRPr="0058008E" w:rsidRDefault="00033F97" w:rsidP="0073460D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59A83E16" w14:textId="77777777" w:rsidR="006C0285" w:rsidRPr="0058008E" w:rsidRDefault="006C0285" w:rsidP="0073460D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Do </w:t>
      </w:r>
      <w:r w:rsidR="005875EE" w:rsidRPr="0058008E">
        <w:rPr>
          <w:rFonts w:ascii="Times New Roman" w:hAnsi="Times New Roman"/>
          <w:b w:val="0"/>
          <w:i w:val="0"/>
          <w:sz w:val="24"/>
        </w:rPr>
        <w:t xml:space="preserve">grupy </w:t>
      </w:r>
      <w:r w:rsidRPr="0058008E">
        <w:rPr>
          <w:rFonts w:ascii="Times New Roman" w:hAnsi="Times New Roman"/>
          <w:b w:val="0"/>
          <w:i w:val="0"/>
          <w:sz w:val="24"/>
        </w:rPr>
        <w:t>pozostałych dochodów zaliczane są również wpływy z różnych opłat, taki</w:t>
      </w:r>
      <w:r w:rsidR="0018163D" w:rsidRPr="0058008E">
        <w:rPr>
          <w:rFonts w:ascii="Times New Roman" w:hAnsi="Times New Roman"/>
          <w:b w:val="0"/>
          <w:i w:val="0"/>
          <w:sz w:val="24"/>
        </w:rPr>
        <w:t>ch</w:t>
      </w:r>
      <w:r w:rsidRPr="0058008E">
        <w:rPr>
          <w:rFonts w:ascii="Times New Roman" w:hAnsi="Times New Roman"/>
          <w:b w:val="0"/>
          <w:i w:val="0"/>
          <w:sz w:val="24"/>
        </w:rPr>
        <w:t xml:space="preserve"> jak: opłaty za czynności egzekucyjne, zwroty kosztów postępowania administracyjnego, wpływy z usług, mandaty, grzywny i inne kary pieniężne od osób fizycznych</w:t>
      </w:r>
      <w:r w:rsidR="0018163D" w:rsidRPr="0058008E">
        <w:rPr>
          <w:rFonts w:ascii="Times New Roman" w:hAnsi="Times New Roman"/>
          <w:b w:val="0"/>
          <w:i w:val="0"/>
          <w:sz w:val="24"/>
        </w:rPr>
        <w:t xml:space="preserve"> i</w:t>
      </w:r>
      <w:r w:rsidR="00B50D9A" w:rsidRPr="0058008E">
        <w:rPr>
          <w:rFonts w:ascii="Times New Roman" w:hAnsi="Times New Roman"/>
          <w:b w:val="0"/>
          <w:i w:val="0"/>
          <w:sz w:val="24"/>
        </w:rPr>
        <w:t xml:space="preserve"> prawnych.</w:t>
      </w:r>
    </w:p>
    <w:p w14:paraId="2662B7AC" w14:textId="77777777" w:rsidR="00033F97" w:rsidRPr="0058008E" w:rsidRDefault="00033F97" w:rsidP="008761E1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</w:p>
    <w:p w14:paraId="342D079E" w14:textId="5530BD3B" w:rsidR="008C538B" w:rsidRPr="0058008E" w:rsidRDefault="006C0285" w:rsidP="00FD39A3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Wysokość dochodów mias</w:t>
      </w:r>
      <w:r w:rsidR="00C30C49" w:rsidRPr="0058008E">
        <w:rPr>
          <w:rFonts w:ascii="Times New Roman" w:hAnsi="Times New Roman"/>
          <w:b w:val="0"/>
          <w:i w:val="0"/>
          <w:sz w:val="24"/>
        </w:rPr>
        <w:t>ta uzyskanych</w:t>
      </w:r>
      <w:r w:rsidR="00A024DC" w:rsidRPr="0058008E">
        <w:rPr>
          <w:rFonts w:ascii="Times New Roman" w:hAnsi="Times New Roman"/>
          <w:b w:val="0"/>
          <w:i w:val="0"/>
          <w:sz w:val="24"/>
        </w:rPr>
        <w:t xml:space="preserve"> w roku 20</w:t>
      </w:r>
      <w:r w:rsidR="00001D5C" w:rsidRPr="0058008E">
        <w:rPr>
          <w:rFonts w:ascii="Times New Roman" w:hAnsi="Times New Roman"/>
          <w:b w:val="0"/>
          <w:i w:val="0"/>
          <w:sz w:val="24"/>
        </w:rPr>
        <w:t>2</w:t>
      </w:r>
      <w:r w:rsidR="00E03D0C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 xml:space="preserve"> z tytułu </w:t>
      </w:r>
      <w:r w:rsidRPr="0058008E">
        <w:rPr>
          <w:rFonts w:ascii="Times New Roman" w:hAnsi="Times New Roman"/>
          <w:i w:val="0"/>
          <w:sz w:val="24"/>
        </w:rPr>
        <w:t xml:space="preserve">podatków </w:t>
      </w:r>
      <w:r w:rsidR="008C538B" w:rsidRPr="0058008E">
        <w:rPr>
          <w:rFonts w:ascii="Times New Roman" w:hAnsi="Times New Roman"/>
          <w:i w:val="0"/>
          <w:sz w:val="24"/>
        </w:rPr>
        <w:t xml:space="preserve"> </w:t>
      </w:r>
      <w:r w:rsidRPr="0058008E">
        <w:rPr>
          <w:rFonts w:ascii="Times New Roman" w:hAnsi="Times New Roman"/>
          <w:i w:val="0"/>
          <w:sz w:val="24"/>
        </w:rPr>
        <w:t>i opłat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i w:val="0"/>
          <w:sz w:val="24"/>
        </w:rPr>
        <w:t>lokalnych</w:t>
      </w:r>
      <w:r w:rsidRPr="0058008E">
        <w:rPr>
          <w:rFonts w:ascii="Times New Roman" w:hAnsi="Times New Roman"/>
          <w:b w:val="0"/>
          <w:i w:val="0"/>
          <w:sz w:val="24"/>
        </w:rPr>
        <w:t xml:space="preserve">, ich strukturę i wykonanie w porównaniu do planu przedstawiono </w:t>
      </w:r>
      <w:r w:rsidR="00E24964" w:rsidRPr="0058008E">
        <w:rPr>
          <w:rFonts w:ascii="Times New Roman" w:hAnsi="Times New Roman"/>
          <w:b w:val="0"/>
          <w:i w:val="0"/>
          <w:sz w:val="24"/>
        </w:rPr>
        <w:t xml:space="preserve">w tabeli </w:t>
      </w:r>
      <w:r w:rsidRPr="0058008E">
        <w:rPr>
          <w:rFonts w:ascii="Times New Roman" w:hAnsi="Times New Roman"/>
          <w:b w:val="0"/>
          <w:i w:val="0"/>
          <w:sz w:val="24"/>
        </w:rPr>
        <w:t xml:space="preserve">V, a </w:t>
      </w:r>
      <w:r w:rsidR="0018163D" w:rsidRPr="0058008E">
        <w:rPr>
          <w:rFonts w:ascii="Times New Roman" w:hAnsi="Times New Roman"/>
          <w:b w:val="0"/>
          <w:i w:val="0"/>
          <w:sz w:val="24"/>
        </w:rPr>
        <w:t xml:space="preserve">ich </w:t>
      </w:r>
      <w:r w:rsidRPr="0058008E">
        <w:rPr>
          <w:rFonts w:ascii="Times New Roman" w:hAnsi="Times New Roman"/>
          <w:b w:val="0"/>
          <w:i w:val="0"/>
          <w:sz w:val="24"/>
        </w:rPr>
        <w:t>p</w:t>
      </w:r>
      <w:r w:rsidR="00013BD6" w:rsidRPr="0058008E">
        <w:rPr>
          <w:rFonts w:ascii="Times New Roman" w:hAnsi="Times New Roman"/>
          <w:b w:val="0"/>
          <w:i w:val="0"/>
          <w:sz w:val="24"/>
        </w:rPr>
        <w:t xml:space="preserve">rocentowe wykonanie na rysunku </w:t>
      </w:r>
      <w:r w:rsidR="00D4744D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>.</w:t>
      </w:r>
    </w:p>
    <w:p w14:paraId="6BC8C069" w14:textId="4C2538A2" w:rsidR="00EA14CE" w:rsidRPr="0058008E" w:rsidRDefault="00E24964" w:rsidP="00E24964">
      <w:pPr>
        <w:pStyle w:val="Tekstpodstawowy2"/>
        <w:ind w:left="8080"/>
        <w:rPr>
          <w:rFonts w:ascii="Times New Roman" w:hAnsi="Times New Roman"/>
          <w:b w:val="0"/>
          <w:i w:val="0"/>
        </w:rPr>
      </w:pPr>
      <w:r w:rsidRPr="00D96EA2">
        <w:rPr>
          <w:rFonts w:ascii="Times New Roman" w:hAnsi="Times New Roman"/>
          <w:b w:val="0"/>
          <w:i w:val="0"/>
          <w:sz w:val="22"/>
          <w:szCs w:val="22"/>
        </w:rPr>
        <w:t>Rys.</w:t>
      </w:r>
      <w:r w:rsidR="00C427E5" w:rsidRPr="009132A3">
        <w:rPr>
          <w:rFonts w:ascii="Times New Roman" w:hAnsi="Times New Roman"/>
          <w:b w:val="0"/>
          <w:i w:val="0"/>
        </w:rPr>
        <w:t>5</w:t>
      </w:r>
    </w:p>
    <w:p w14:paraId="4E3BBACE" w14:textId="36DA958F" w:rsidR="00F06262" w:rsidRPr="0058008E" w:rsidRDefault="00315C8D" w:rsidP="006128D0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  <w:r>
        <w:rPr>
          <w:noProof/>
        </w:rPr>
        <w:drawing>
          <wp:inline distT="0" distB="0" distL="0" distR="0" wp14:anchorId="7AA86D48" wp14:editId="65BF12F3">
            <wp:extent cx="4733925" cy="2047875"/>
            <wp:effectExtent l="0" t="0" r="9525" b="9525"/>
            <wp:docPr id="3957264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D41E7CD-9B28-4573-798B-E6CD60704F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A76BE6" w14:textId="77777777" w:rsidR="006128D0" w:rsidRPr="0058008E" w:rsidRDefault="006128D0" w:rsidP="00966BAF">
      <w:pPr>
        <w:pStyle w:val="Tekstpodstawowy2"/>
        <w:rPr>
          <w:rFonts w:ascii="Times New Roman" w:hAnsi="Times New Roman"/>
          <w:i w:val="0"/>
          <w:color w:val="EE0000"/>
          <w:sz w:val="24"/>
        </w:rPr>
      </w:pPr>
    </w:p>
    <w:p w14:paraId="5C517324" w14:textId="77777777" w:rsidR="00CA3A07" w:rsidRPr="0058008E" w:rsidRDefault="00CA3A07" w:rsidP="00794B64">
      <w:pPr>
        <w:pStyle w:val="Tekstpodstawowy2"/>
        <w:jc w:val="center"/>
        <w:rPr>
          <w:rFonts w:ascii="Times New Roman" w:hAnsi="Times New Roman"/>
          <w:i w:val="0"/>
          <w:color w:val="EE0000"/>
          <w:sz w:val="24"/>
        </w:rPr>
      </w:pPr>
    </w:p>
    <w:p w14:paraId="412850AF" w14:textId="77777777" w:rsidR="006C0285" w:rsidRPr="0058008E" w:rsidRDefault="006C0285" w:rsidP="00794B64">
      <w:pPr>
        <w:pStyle w:val="Tekstpodstawowy2"/>
        <w:jc w:val="center"/>
        <w:rPr>
          <w:rFonts w:ascii="Times New Roman" w:hAnsi="Times New Roman"/>
          <w:i w:val="0"/>
          <w:sz w:val="24"/>
        </w:rPr>
      </w:pPr>
      <w:r w:rsidRPr="0058008E">
        <w:rPr>
          <w:rFonts w:ascii="Times New Roman" w:hAnsi="Times New Roman"/>
          <w:i w:val="0"/>
          <w:sz w:val="24"/>
        </w:rPr>
        <w:lastRenderedPageBreak/>
        <w:t>Dochody własne Gminy Miasta Sopotu z tytułu podatków i opłat lokalnych</w:t>
      </w:r>
    </w:p>
    <w:p w14:paraId="42AC3360" w14:textId="77777777" w:rsidR="006C0285" w:rsidRPr="0058008E" w:rsidRDefault="00E24964" w:rsidP="006C0285">
      <w:pPr>
        <w:pStyle w:val="Tekstpodstawowy2"/>
        <w:jc w:val="right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Tab. V</w:t>
      </w: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2861"/>
        <w:gridCol w:w="1509"/>
        <w:gridCol w:w="1141"/>
        <w:gridCol w:w="1533"/>
        <w:gridCol w:w="1141"/>
        <w:gridCol w:w="1050"/>
      </w:tblGrid>
      <w:tr w:rsidR="006412EC" w:rsidRPr="006412EC" w14:paraId="4EFA6593" w14:textId="77777777" w:rsidTr="00D96EA2">
        <w:trPr>
          <w:trHeight w:val="6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B86280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proofErr w:type="spellStart"/>
            <w:r w:rsidRPr="006412EC">
              <w:rPr>
                <w:rFonts w:ascii="Bookman Old Style" w:hAnsi="Bookman Old Style"/>
                <w:b/>
                <w:bCs/>
                <w:color w:val="000000"/>
              </w:rPr>
              <w:t>L.p</w:t>
            </w:r>
            <w:proofErr w:type="spellEnd"/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7881E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 xml:space="preserve">Rodzaj podatku </w:t>
            </w:r>
            <w:r w:rsidRPr="006412EC">
              <w:rPr>
                <w:rFonts w:ascii="Bookman Old Style" w:hAnsi="Bookman Old Style"/>
                <w:b/>
                <w:bCs/>
                <w:color w:val="000000"/>
              </w:rPr>
              <w:br/>
              <w:t>i opłaty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1DA28A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 xml:space="preserve">Plan dochodów </w:t>
            </w:r>
            <w:r w:rsidRPr="006412EC">
              <w:rPr>
                <w:rFonts w:ascii="Bookman Old Style" w:hAnsi="Bookman Old Style"/>
                <w:b/>
                <w:bCs/>
                <w:color w:val="000000"/>
              </w:rPr>
              <w:br/>
              <w:t xml:space="preserve"> po zmianach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F17874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Roczne wykonanie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A6B855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% wykon</w:t>
            </w:r>
          </w:p>
        </w:tc>
      </w:tr>
      <w:tr w:rsidR="006412EC" w:rsidRPr="006412EC" w14:paraId="590E65B7" w14:textId="77777777" w:rsidTr="00D96EA2">
        <w:trPr>
          <w:trHeight w:val="5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7AA4A" w14:textId="77777777" w:rsidR="006412EC" w:rsidRPr="006412EC" w:rsidRDefault="006412EC" w:rsidP="006412EC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DCAE" w14:textId="77777777" w:rsidR="006412EC" w:rsidRPr="006412EC" w:rsidRDefault="006412EC" w:rsidP="006412EC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AEC88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(w zł)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F7C6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 xml:space="preserve">Struktura </w:t>
            </w:r>
            <w:r w:rsidRPr="006412EC">
              <w:rPr>
                <w:rFonts w:ascii="Bookman Old Style" w:hAnsi="Bookman Old Style"/>
                <w:b/>
                <w:bCs/>
                <w:color w:val="000000"/>
              </w:rPr>
              <w:br/>
              <w:t>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1CA7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(w zł)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1592" w14:textId="77777777" w:rsidR="006412EC" w:rsidRPr="006412EC" w:rsidRDefault="006412EC" w:rsidP="006412EC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 xml:space="preserve">Struktura </w:t>
            </w:r>
            <w:r w:rsidRPr="006412EC">
              <w:rPr>
                <w:rFonts w:ascii="Bookman Old Style" w:hAnsi="Bookman Old Style"/>
                <w:b/>
                <w:bCs/>
                <w:color w:val="000000"/>
              </w:rPr>
              <w:br/>
              <w:t>%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7940" w14:textId="77777777" w:rsidR="006412EC" w:rsidRPr="006412EC" w:rsidRDefault="006412EC" w:rsidP="006412EC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</w:tr>
      <w:tr w:rsidR="006412EC" w:rsidRPr="006412EC" w14:paraId="5849EE32" w14:textId="77777777" w:rsidTr="00D96EA2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F2AD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4A9E7A" w14:textId="77777777" w:rsidR="006412EC" w:rsidRPr="006412EC" w:rsidRDefault="006412EC" w:rsidP="006412EC">
            <w:pPr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 xml:space="preserve">Podatek od nieruchomości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A10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31 198 000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B3A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29,95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0DE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30 794 698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AF8A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29,11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F95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98,71</w:t>
            </w:r>
          </w:p>
        </w:tc>
      </w:tr>
      <w:tr w:rsidR="006412EC" w:rsidRPr="006412EC" w14:paraId="57BF6589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D679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879F6B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Podatek rolny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C64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70A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B4F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1 056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C42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683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105,60</w:t>
            </w:r>
          </w:p>
        </w:tc>
      </w:tr>
      <w:tr w:rsidR="006412EC" w:rsidRPr="006412EC" w14:paraId="7058C170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200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844531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Podatek leśny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5FCA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60 277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8CF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DB1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53 212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87AF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F52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88,28</w:t>
            </w:r>
          </w:p>
        </w:tc>
      </w:tr>
      <w:tr w:rsidR="006412EC" w:rsidRPr="006412EC" w14:paraId="636B84CA" w14:textId="77777777" w:rsidTr="00D96EA2">
        <w:trPr>
          <w:trHeight w:val="7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C659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230419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Podatek od środków transportowych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FCAA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465 000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C77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2BE6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435 100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E036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404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93,57</w:t>
            </w:r>
          </w:p>
        </w:tc>
      </w:tr>
      <w:tr w:rsidR="006412EC" w:rsidRPr="006412EC" w14:paraId="0408A9F1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29C7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997C73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Podatek od posiadania psów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3AB7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37 000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70BF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294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40 741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479D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274F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110,11</w:t>
            </w:r>
          </w:p>
        </w:tc>
      </w:tr>
      <w:tr w:rsidR="006412EC" w:rsidRPr="006412EC" w14:paraId="7999080D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246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BDFA9B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Podatek od spadków i darowizn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EF1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7 896 746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221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7,58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87B3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8 739 409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B27A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8,26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9AA2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110,67</w:t>
            </w:r>
          </w:p>
        </w:tc>
      </w:tr>
      <w:tr w:rsidR="006412EC" w:rsidRPr="006412EC" w14:paraId="363CD333" w14:textId="77777777" w:rsidTr="00D96EA2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CB56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3A2BF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Podatek od dział. gosp.-karta podatkowa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40A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400 000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C9D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0,38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22A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410 881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3943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A73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102,72</w:t>
            </w:r>
          </w:p>
        </w:tc>
      </w:tr>
      <w:tr w:rsidR="006412EC" w:rsidRPr="006412EC" w14:paraId="77C6CD09" w14:textId="77777777" w:rsidTr="00D96EA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218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6BF6A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Podatek od czynności cywilno-prawnych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314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11 500 000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6C1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11,04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BA9F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13 340 776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40CD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12,61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C68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116,01</w:t>
            </w:r>
          </w:p>
        </w:tc>
      </w:tr>
      <w:tr w:rsidR="006412EC" w:rsidRPr="006412EC" w14:paraId="75A11F19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CCD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23A754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Opłata uzdrowiskowa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1D1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4 358 800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60C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4,18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B9D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4 908 999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110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4,64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9A79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112,62</w:t>
            </w:r>
          </w:p>
        </w:tc>
      </w:tr>
      <w:tr w:rsidR="006412EC" w:rsidRPr="006412EC" w14:paraId="1D2C6BCD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F34D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AC9621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Opłata eksploatacyjna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62E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40 000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105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99B2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25 595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40A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B576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63,99</w:t>
            </w:r>
          </w:p>
        </w:tc>
      </w:tr>
      <w:tr w:rsidR="006412EC" w:rsidRPr="006412EC" w14:paraId="1D2BC6B0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5BB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11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3C00FA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Opłata skarbowa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742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500 000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B7D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96B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514 029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A0C6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A6A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102,81</w:t>
            </w:r>
          </w:p>
        </w:tc>
      </w:tr>
      <w:tr w:rsidR="006412EC" w:rsidRPr="006412EC" w14:paraId="67A5D392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1C3D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12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B222E2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Opłata komunikacyjna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FFF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500 000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3B43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4A57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564 827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ACA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02E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112,97</w:t>
            </w:r>
          </w:p>
        </w:tc>
      </w:tr>
      <w:tr w:rsidR="006412EC" w:rsidRPr="006412EC" w14:paraId="01D967A4" w14:textId="77777777" w:rsidTr="00D96EA2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73B6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0DE7A1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Opłata za zezwolenia na sprzedaż alkoholu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F58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3 168 800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7D4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3,04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F83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3 185 130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0209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3,01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0BF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100,52</w:t>
            </w:r>
          </w:p>
        </w:tc>
      </w:tr>
      <w:tr w:rsidR="006412EC" w:rsidRPr="006412EC" w14:paraId="052C420F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AEB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5F3A94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Opłata „śmieciowa”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29C7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27 000 000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A90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25,92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8DC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27 756 184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8DC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26,24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71D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102,80</w:t>
            </w:r>
          </w:p>
        </w:tc>
      </w:tr>
      <w:tr w:rsidR="006412EC" w:rsidRPr="006412EC" w14:paraId="43E3269F" w14:textId="77777777" w:rsidTr="00D96EA2">
        <w:trPr>
          <w:trHeight w:val="8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F8D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CD1D35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Opłaty za zajecie pasa drogowego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5093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1 457 948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D47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1,40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DAD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1 473 786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E689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1,39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13F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101,09</w:t>
            </w:r>
          </w:p>
        </w:tc>
      </w:tr>
      <w:tr w:rsidR="006412EC" w:rsidRPr="006412EC" w14:paraId="7E5E5911" w14:textId="77777777" w:rsidTr="00D96EA2">
        <w:trPr>
          <w:trHeight w:val="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775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E7BBFD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Opłata parkingowa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B71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11 650 000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F9E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11,18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A34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11 143 601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E51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10,53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490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95,65</w:t>
            </w:r>
          </w:p>
        </w:tc>
      </w:tr>
      <w:tr w:rsidR="006412EC" w:rsidRPr="006412EC" w14:paraId="304F533C" w14:textId="77777777" w:rsidTr="00D96EA2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D9BD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17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2CE52E" w14:textId="02541583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Opłata z tytułu grzywien i za opłaty ewidencyjne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CE0F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895 601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DFB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0,86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D674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826 972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06B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8DF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92,34</w:t>
            </w:r>
          </w:p>
        </w:tc>
      </w:tr>
      <w:tr w:rsidR="006412EC" w:rsidRPr="006412EC" w14:paraId="60FA811E" w14:textId="77777777" w:rsidTr="00D96EA2">
        <w:trPr>
          <w:trHeight w:val="8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E1D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18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DB68D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Opłata za zezwolenia na sprzedaż alkoholu w obrocie hurtowym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FBF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725 175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FEAA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8CD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725 174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AA3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0,69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C997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100,00</w:t>
            </w:r>
          </w:p>
        </w:tc>
      </w:tr>
      <w:tr w:rsidR="006412EC" w:rsidRPr="006412EC" w14:paraId="091A519B" w14:textId="77777777" w:rsidTr="00D96EA2">
        <w:trPr>
          <w:trHeight w:val="8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3EE2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19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D1158E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Wpływy za wydawanie koncesji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BDE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150 000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290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DC03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148 737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638F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6A8D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99,16</w:t>
            </w:r>
          </w:p>
        </w:tc>
      </w:tr>
      <w:tr w:rsidR="006412EC" w:rsidRPr="006412EC" w14:paraId="395048BF" w14:textId="77777777" w:rsidTr="00D96EA2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6B7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20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DA5DA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Wpływy z opłat za wydawanie prawa jazdy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775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79 300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E6B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E71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95 438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E53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985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120,35</w:t>
            </w:r>
          </w:p>
        </w:tc>
      </w:tr>
      <w:tr w:rsidR="006412EC" w:rsidRPr="006412EC" w14:paraId="256B07A1" w14:textId="77777777" w:rsidTr="00D96EA2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A1C0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21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11ED7" w14:textId="77777777" w:rsidR="006412EC" w:rsidRPr="006412EC" w:rsidRDefault="006412EC" w:rsidP="006412EC">
            <w:pPr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 xml:space="preserve">Odsetki od nieterminowych wpłat z tyt. podatków i opłat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DAA7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2 076 100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E328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1,99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28A2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602 614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A40B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0,57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27FE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</w:rPr>
            </w:pPr>
            <w:r w:rsidRPr="006412EC">
              <w:rPr>
                <w:rFonts w:ascii="Bookman Old Style" w:hAnsi="Bookman Old Style"/>
              </w:rPr>
              <w:t>29,03</w:t>
            </w:r>
          </w:p>
        </w:tc>
      </w:tr>
      <w:tr w:rsidR="006412EC" w:rsidRPr="006412EC" w14:paraId="0C69685B" w14:textId="77777777" w:rsidTr="00D96E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627D" w14:textId="77777777" w:rsidR="006412EC" w:rsidRPr="006412EC" w:rsidRDefault="006412EC" w:rsidP="006412EC">
            <w:pPr>
              <w:rPr>
                <w:rFonts w:ascii="Bookman Old Style" w:hAnsi="Bookman Old Style"/>
                <w:color w:val="000000"/>
              </w:rPr>
            </w:pPr>
            <w:r w:rsidRPr="006412EC">
              <w:rPr>
                <w:rFonts w:ascii="Bookman Old Style" w:hAnsi="Bookman Old Style"/>
                <w:color w:val="000000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9F1554" w14:textId="77777777" w:rsidR="006412EC" w:rsidRPr="006412EC" w:rsidRDefault="006412EC" w:rsidP="006412EC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Razem: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E8AC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104 159 747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C7F5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100,00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C1B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105 786 959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8C47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100,00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5CA1" w14:textId="77777777" w:rsidR="006412EC" w:rsidRPr="006412EC" w:rsidRDefault="006412EC" w:rsidP="006412EC">
            <w:pPr>
              <w:jc w:val="right"/>
              <w:rPr>
                <w:rFonts w:ascii="Bookman Old Style" w:hAnsi="Bookman Old Style"/>
                <w:b/>
                <w:bCs/>
                <w:color w:val="000000"/>
              </w:rPr>
            </w:pPr>
            <w:r w:rsidRPr="006412EC">
              <w:rPr>
                <w:rFonts w:ascii="Bookman Old Style" w:hAnsi="Bookman Old Style"/>
                <w:b/>
                <w:bCs/>
                <w:color w:val="000000"/>
              </w:rPr>
              <w:t>101,56</w:t>
            </w:r>
          </w:p>
        </w:tc>
      </w:tr>
    </w:tbl>
    <w:p w14:paraId="77E6FCD7" w14:textId="77777777" w:rsidR="00D4744D" w:rsidRPr="0058008E" w:rsidRDefault="00D4744D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580209CA" w14:textId="59B78702" w:rsidR="006C0285" w:rsidRPr="0058008E" w:rsidRDefault="006C0285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Podobnie jak w latach ubiegłych największy udział wśród </w:t>
      </w:r>
      <w:r w:rsidRPr="0058008E">
        <w:rPr>
          <w:rFonts w:ascii="Times New Roman" w:hAnsi="Times New Roman"/>
          <w:i w:val="0"/>
          <w:sz w:val="24"/>
        </w:rPr>
        <w:t>podatków</w:t>
      </w:r>
      <w:r w:rsidR="00DD4154" w:rsidRPr="0058008E">
        <w:rPr>
          <w:rFonts w:ascii="Times New Roman" w:hAnsi="Times New Roman"/>
          <w:i w:val="0"/>
          <w:sz w:val="24"/>
        </w:rPr>
        <w:t xml:space="preserve"> </w:t>
      </w:r>
      <w:r w:rsidRPr="0058008E">
        <w:rPr>
          <w:rFonts w:ascii="Times New Roman" w:hAnsi="Times New Roman"/>
          <w:i w:val="0"/>
          <w:sz w:val="24"/>
        </w:rPr>
        <w:t>i opłat lokalnych</w:t>
      </w:r>
      <w:r w:rsidRPr="0058008E">
        <w:rPr>
          <w:rFonts w:ascii="Times New Roman" w:hAnsi="Times New Roman"/>
          <w:b w:val="0"/>
          <w:i w:val="0"/>
          <w:sz w:val="24"/>
        </w:rPr>
        <w:t xml:space="preserve"> zajmował </w:t>
      </w:r>
      <w:r w:rsidRPr="0058008E">
        <w:rPr>
          <w:rFonts w:ascii="Times New Roman" w:hAnsi="Times New Roman"/>
          <w:i w:val="0"/>
          <w:sz w:val="24"/>
        </w:rPr>
        <w:t>podatek od nieruchomości</w:t>
      </w:r>
      <w:r w:rsidR="00A53F0F" w:rsidRPr="0058008E">
        <w:rPr>
          <w:rFonts w:ascii="Times New Roman" w:hAnsi="Times New Roman"/>
          <w:b w:val="0"/>
          <w:i w:val="0"/>
          <w:sz w:val="24"/>
        </w:rPr>
        <w:t>, który stanowił</w:t>
      </w:r>
      <w:r w:rsidR="00DD415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0C32D2">
        <w:rPr>
          <w:rFonts w:ascii="Times New Roman" w:hAnsi="Times New Roman"/>
          <w:b w:val="0"/>
          <w:i w:val="0"/>
          <w:sz w:val="24"/>
        </w:rPr>
        <w:t>29,11</w:t>
      </w:r>
      <w:r w:rsidRPr="0058008E">
        <w:rPr>
          <w:rFonts w:ascii="Times New Roman" w:hAnsi="Times New Roman"/>
          <w:b w:val="0"/>
          <w:i w:val="0"/>
          <w:sz w:val="24"/>
        </w:rPr>
        <w:t xml:space="preserve"> % w strukturze tych dochodów. Wpływy uzyskane z tytułu podatku od nieruch</w:t>
      </w:r>
      <w:r w:rsidR="00154266" w:rsidRPr="0058008E">
        <w:rPr>
          <w:rFonts w:ascii="Times New Roman" w:hAnsi="Times New Roman"/>
          <w:b w:val="0"/>
          <w:i w:val="0"/>
          <w:sz w:val="24"/>
        </w:rPr>
        <w:t xml:space="preserve">omości w wysokości </w:t>
      </w:r>
      <w:r w:rsidR="00234B9F" w:rsidRPr="0058008E">
        <w:rPr>
          <w:rFonts w:ascii="Times New Roman" w:hAnsi="Times New Roman"/>
          <w:b w:val="0"/>
          <w:i w:val="0"/>
          <w:sz w:val="24"/>
        </w:rPr>
        <w:t>3</w:t>
      </w:r>
      <w:r w:rsidR="000C32D2">
        <w:rPr>
          <w:rFonts w:ascii="Times New Roman" w:hAnsi="Times New Roman"/>
          <w:b w:val="0"/>
          <w:i w:val="0"/>
          <w:sz w:val="24"/>
        </w:rPr>
        <w:t>0</w:t>
      </w:r>
      <w:r w:rsidR="00234B9F" w:rsidRPr="0058008E">
        <w:rPr>
          <w:rFonts w:ascii="Times New Roman" w:hAnsi="Times New Roman"/>
          <w:b w:val="0"/>
          <w:i w:val="0"/>
          <w:sz w:val="24"/>
        </w:rPr>
        <w:t>,</w:t>
      </w:r>
      <w:r w:rsidR="000C32D2">
        <w:rPr>
          <w:rFonts w:ascii="Times New Roman" w:hAnsi="Times New Roman"/>
          <w:b w:val="0"/>
          <w:i w:val="0"/>
          <w:sz w:val="24"/>
        </w:rPr>
        <w:t>8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200F8" w:rsidRPr="0058008E">
        <w:rPr>
          <w:rFonts w:ascii="Times New Roman" w:hAnsi="Times New Roman"/>
          <w:b w:val="0"/>
          <w:i w:val="0"/>
          <w:sz w:val="24"/>
        </w:rPr>
        <w:t>mln zł</w:t>
      </w:r>
      <w:r w:rsidR="00FF3CB5" w:rsidRPr="0058008E">
        <w:rPr>
          <w:rFonts w:ascii="Times New Roman" w:hAnsi="Times New Roman"/>
          <w:b w:val="0"/>
          <w:i w:val="0"/>
          <w:sz w:val="24"/>
        </w:rPr>
        <w:t>,</w:t>
      </w:r>
      <w:r w:rsidR="00FF3CB5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B1453C" w:rsidRPr="0058008E">
        <w:rPr>
          <w:rFonts w:ascii="Times New Roman" w:hAnsi="Times New Roman"/>
          <w:b w:val="0"/>
          <w:i w:val="0"/>
          <w:sz w:val="24"/>
        </w:rPr>
        <w:t xml:space="preserve">były </w:t>
      </w:r>
      <w:r w:rsidR="00671D26" w:rsidRPr="0058008E">
        <w:rPr>
          <w:rFonts w:ascii="Times New Roman" w:hAnsi="Times New Roman"/>
          <w:b w:val="0"/>
          <w:i w:val="0"/>
          <w:sz w:val="24"/>
        </w:rPr>
        <w:t>niższe</w:t>
      </w:r>
      <w:r w:rsidR="00FF3CB5" w:rsidRPr="0058008E">
        <w:rPr>
          <w:rFonts w:ascii="Times New Roman" w:hAnsi="Times New Roman"/>
          <w:b w:val="0"/>
          <w:i w:val="0"/>
          <w:sz w:val="24"/>
        </w:rPr>
        <w:t xml:space="preserve"> o </w:t>
      </w:r>
      <w:r w:rsidR="00671D26" w:rsidRPr="0058008E">
        <w:rPr>
          <w:rFonts w:ascii="Times New Roman" w:hAnsi="Times New Roman"/>
          <w:b w:val="0"/>
          <w:i w:val="0"/>
          <w:sz w:val="24"/>
        </w:rPr>
        <w:t>0,4</w:t>
      </w:r>
      <w:r w:rsidR="00FF3CB5" w:rsidRPr="0058008E">
        <w:rPr>
          <w:rFonts w:ascii="Times New Roman" w:hAnsi="Times New Roman"/>
          <w:b w:val="0"/>
          <w:i w:val="0"/>
          <w:sz w:val="24"/>
        </w:rPr>
        <w:t xml:space="preserve"> mln zł od zakładanych</w:t>
      </w:r>
      <w:r w:rsidR="00480F43" w:rsidRPr="0058008E">
        <w:rPr>
          <w:rFonts w:ascii="Times New Roman" w:hAnsi="Times New Roman"/>
          <w:b w:val="0"/>
          <w:i w:val="0"/>
          <w:sz w:val="24"/>
        </w:rPr>
        <w:t xml:space="preserve"> i wy</w:t>
      </w:r>
      <w:r w:rsidR="008C485B" w:rsidRPr="0058008E">
        <w:rPr>
          <w:rFonts w:ascii="Times New Roman" w:hAnsi="Times New Roman"/>
          <w:b w:val="0"/>
          <w:i w:val="0"/>
          <w:sz w:val="24"/>
        </w:rPr>
        <w:t>ż</w:t>
      </w:r>
      <w:r w:rsidR="00001D5C" w:rsidRPr="0058008E">
        <w:rPr>
          <w:rFonts w:ascii="Times New Roman" w:hAnsi="Times New Roman"/>
          <w:b w:val="0"/>
          <w:i w:val="0"/>
          <w:sz w:val="24"/>
        </w:rPr>
        <w:t>sze od</w:t>
      </w:r>
      <w:r w:rsidR="00F200F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ubiegł</w:t>
      </w:r>
      <w:r w:rsidR="00F200F8" w:rsidRPr="0058008E">
        <w:rPr>
          <w:rFonts w:ascii="Times New Roman" w:hAnsi="Times New Roman"/>
          <w:b w:val="0"/>
          <w:i w:val="0"/>
          <w:sz w:val="24"/>
        </w:rPr>
        <w:t>oroczn</w:t>
      </w:r>
      <w:r w:rsidR="00AE66BC" w:rsidRPr="0058008E">
        <w:rPr>
          <w:rFonts w:ascii="Times New Roman" w:hAnsi="Times New Roman"/>
          <w:b w:val="0"/>
          <w:i w:val="0"/>
          <w:sz w:val="24"/>
        </w:rPr>
        <w:t>ych</w:t>
      </w:r>
      <w:r w:rsidR="00D417B3"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13"/>
      </w:r>
      <w:r w:rsidRPr="0058008E">
        <w:rPr>
          <w:rFonts w:ascii="Times New Roman" w:hAnsi="Times New Roman"/>
          <w:b w:val="0"/>
          <w:i w:val="0"/>
          <w:sz w:val="24"/>
        </w:rPr>
        <w:t xml:space="preserve">.  </w:t>
      </w:r>
      <w:bookmarkStart w:id="8" w:name="_Hlk162265962"/>
      <w:r w:rsidRPr="0058008E">
        <w:rPr>
          <w:rFonts w:ascii="Times New Roman" w:hAnsi="Times New Roman"/>
          <w:b w:val="0"/>
          <w:i w:val="0"/>
          <w:sz w:val="24"/>
        </w:rPr>
        <w:t>Podatkiem od nieruchomości objęt</w:t>
      </w:r>
      <w:r w:rsidR="00E96113" w:rsidRPr="0058008E">
        <w:rPr>
          <w:rFonts w:ascii="Times New Roman" w:hAnsi="Times New Roman"/>
          <w:b w:val="0"/>
          <w:i w:val="0"/>
          <w:sz w:val="24"/>
        </w:rPr>
        <w:t>ych</w:t>
      </w:r>
      <w:r w:rsidRPr="0058008E">
        <w:rPr>
          <w:rFonts w:ascii="Times New Roman" w:hAnsi="Times New Roman"/>
          <w:b w:val="0"/>
          <w:i w:val="0"/>
          <w:sz w:val="24"/>
        </w:rPr>
        <w:t xml:space="preserve"> był</w:t>
      </w:r>
      <w:r w:rsidR="00E96113" w:rsidRPr="0058008E">
        <w:rPr>
          <w:rFonts w:ascii="Times New Roman" w:hAnsi="Times New Roman"/>
          <w:b w:val="0"/>
          <w:i w:val="0"/>
          <w:sz w:val="24"/>
        </w:rPr>
        <w:t>o</w:t>
      </w:r>
      <w:r w:rsidRPr="0058008E">
        <w:rPr>
          <w:rFonts w:ascii="Times New Roman" w:hAnsi="Times New Roman"/>
          <w:b w:val="0"/>
          <w:i w:val="0"/>
          <w:sz w:val="24"/>
        </w:rPr>
        <w:t xml:space="preserve"> na terenie miasta Sopotu </w:t>
      </w:r>
      <w:r w:rsidR="00DF6F94" w:rsidRPr="0058008E">
        <w:rPr>
          <w:rFonts w:ascii="Times New Roman" w:hAnsi="Times New Roman"/>
          <w:b w:val="0"/>
          <w:i w:val="0"/>
          <w:sz w:val="24"/>
        </w:rPr>
        <w:t>10</w:t>
      </w:r>
      <w:r w:rsidR="00BB1CB6" w:rsidRPr="0058008E">
        <w:rPr>
          <w:rFonts w:ascii="Times New Roman" w:hAnsi="Times New Roman"/>
          <w:b w:val="0"/>
          <w:i w:val="0"/>
          <w:sz w:val="24"/>
        </w:rPr>
        <w:t>37</w:t>
      </w:r>
      <w:r w:rsidRPr="0058008E">
        <w:rPr>
          <w:rFonts w:ascii="Times New Roman" w:hAnsi="Times New Roman"/>
          <w:b w:val="0"/>
          <w:i w:val="0"/>
          <w:sz w:val="24"/>
        </w:rPr>
        <w:t xml:space="preserve"> os</w:t>
      </w:r>
      <w:r w:rsidR="00E0455F" w:rsidRPr="0058008E">
        <w:rPr>
          <w:rFonts w:ascii="Times New Roman" w:hAnsi="Times New Roman"/>
          <w:b w:val="0"/>
          <w:i w:val="0"/>
          <w:sz w:val="24"/>
        </w:rPr>
        <w:t>ób</w:t>
      </w:r>
      <w:r w:rsidRPr="0058008E">
        <w:rPr>
          <w:rFonts w:ascii="Times New Roman" w:hAnsi="Times New Roman"/>
          <w:b w:val="0"/>
          <w:i w:val="0"/>
          <w:sz w:val="24"/>
        </w:rPr>
        <w:t xml:space="preserve"> prawn</w:t>
      </w:r>
      <w:r w:rsidR="00E0455F" w:rsidRPr="0058008E">
        <w:rPr>
          <w:rFonts w:ascii="Times New Roman" w:hAnsi="Times New Roman"/>
          <w:b w:val="0"/>
          <w:i w:val="0"/>
          <w:sz w:val="24"/>
        </w:rPr>
        <w:t>ych. O</w:t>
      </w:r>
      <w:r w:rsidRPr="0058008E">
        <w:rPr>
          <w:rFonts w:ascii="Times New Roman" w:hAnsi="Times New Roman"/>
          <w:b w:val="0"/>
          <w:i w:val="0"/>
          <w:sz w:val="24"/>
        </w:rPr>
        <w:t>sob</w:t>
      </w:r>
      <w:r w:rsidR="00E0455F" w:rsidRPr="0058008E">
        <w:rPr>
          <w:rFonts w:ascii="Times New Roman" w:hAnsi="Times New Roman"/>
          <w:b w:val="0"/>
          <w:i w:val="0"/>
          <w:sz w:val="24"/>
        </w:rPr>
        <w:t>om</w:t>
      </w:r>
      <w:r w:rsidRPr="0058008E">
        <w:rPr>
          <w:rFonts w:ascii="Times New Roman" w:hAnsi="Times New Roman"/>
          <w:b w:val="0"/>
          <w:i w:val="0"/>
          <w:sz w:val="24"/>
        </w:rPr>
        <w:t xml:space="preserve"> fizyczn</w:t>
      </w:r>
      <w:r w:rsidR="00E0455F" w:rsidRPr="0058008E">
        <w:rPr>
          <w:rFonts w:ascii="Times New Roman" w:hAnsi="Times New Roman"/>
          <w:b w:val="0"/>
          <w:i w:val="0"/>
          <w:sz w:val="24"/>
        </w:rPr>
        <w:t>ym</w:t>
      </w:r>
      <w:r w:rsidRPr="0058008E">
        <w:rPr>
          <w:rFonts w:ascii="Times New Roman" w:hAnsi="Times New Roman"/>
          <w:b w:val="0"/>
          <w:i w:val="0"/>
          <w:sz w:val="24"/>
        </w:rPr>
        <w:t xml:space="preserve"> będąc</w:t>
      </w:r>
      <w:r w:rsidR="00E0455F" w:rsidRPr="0058008E">
        <w:rPr>
          <w:rFonts w:ascii="Times New Roman" w:hAnsi="Times New Roman"/>
          <w:b w:val="0"/>
          <w:i w:val="0"/>
          <w:sz w:val="24"/>
        </w:rPr>
        <w:t>ych</w:t>
      </w:r>
      <w:r w:rsidRPr="0058008E">
        <w:rPr>
          <w:rFonts w:ascii="Times New Roman" w:hAnsi="Times New Roman"/>
          <w:b w:val="0"/>
          <w:i w:val="0"/>
          <w:sz w:val="24"/>
        </w:rPr>
        <w:t xml:space="preserve"> właścicielami, użytkownikami wieczystymi bądź posiadaczami samoistnymi nieruchomości lub obiektów budowlanych</w:t>
      </w:r>
      <w:r w:rsidR="002776C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0455F" w:rsidRPr="0058008E">
        <w:rPr>
          <w:rFonts w:ascii="Times New Roman" w:hAnsi="Times New Roman"/>
          <w:b w:val="0"/>
          <w:i w:val="0"/>
          <w:sz w:val="24"/>
        </w:rPr>
        <w:t>lub</w:t>
      </w:r>
      <w:r w:rsidR="0021369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posiadacz</w:t>
      </w:r>
      <w:r w:rsidR="00E0455F" w:rsidRPr="0058008E">
        <w:rPr>
          <w:rFonts w:ascii="Times New Roman" w:hAnsi="Times New Roman"/>
          <w:b w:val="0"/>
          <w:i w:val="0"/>
          <w:sz w:val="24"/>
        </w:rPr>
        <w:t>ami</w:t>
      </w:r>
      <w:r w:rsidRPr="0058008E">
        <w:rPr>
          <w:rFonts w:ascii="Times New Roman" w:hAnsi="Times New Roman"/>
          <w:b w:val="0"/>
          <w:i w:val="0"/>
          <w:sz w:val="24"/>
        </w:rPr>
        <w:t xml:space="preserve"> nieruchomości będących własnością Skarbu Państwa lub jednostki samorządu terytorialnego</w:t>
      </w:r>
      <w:r w:rsidR="00D65DA9" w:rsidRPr="0058008E">
        <w:rPr>
          <w:rFonts w:ascii="Times New Roman" w:hAnsi="Times New Roman"/>
          <w:b w:val="0"/>
          <w:i w:val="0"/>
          <w:sz w:val="24"/>
        </w:rPr>
        <w:t xml:space="preserve"> wystawiono w 20</w:t>
      </w:r>
      <w:r w:rsidR="00380B70" w:rsidRPr="0058008E">
        <w:rPr>
          <w:rFonts w:ascii="Times New Roman" w:hAnsi="Times New Roman"/>
          <w:b w:val="0"/>
          <w:i w:val="0"/>
          <w:sz w:val="24"/>
        </w:rPr>
        <w:t>2</w:t>
      </w:r>
      <w:r w:rsidR="00AB4E28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 xml:space="preserve"> roku 1</w:t>
      </w:r>
      <w:r w:rsidR="007866A9" w:rsidRPr="0058008E">
        <w:rPr>
          <w:rFonts w:ascii="Times New Roman" w:hAnsi="Times New Roman"/>
          <w:b w:val="0"/>
          <w:i w:val="0"/>
          <w:sz w:val="24"/>
        </w:rPr>
        <w:t>4</w:t>
      </w:r>
      <w:r w:rsidR="002776C9" w:rsidRPr="0058008E">
        <w:rPr>
          <w:rFonts w:ascii="Times New Roman" w:hAnsi="Times New Roman"/>
          <w:b w:val="0"/>
          <w:i w:val="0"/>
          <w:sz w:val="24"/>
        </w:rPr>
        <w:t>.</w:t>
      </w:r>
      <w:r w:rsidR="00D055F8" w:rsidRPr="0058008E">
        <w:rPr>
          <w:rFonts w:ascii="Times New Roman" w:hAnsi="Times New Roman"/>
          <w:b w:val="0"/>
          <w:i w:val="0"/>
          <w:sz w:val="24"/>
        </w:rPr>
        <w:t>8</w:t>
      </w:r>
      <w:r w:rsidR="00AB4E28" w:rsidRPr="0058008E">
        <w:rPr>
          <w:rFonts w:ascii="Times New Roman" w:hAnsi="Times New Roman"/>
          <w:b w:val="0"/>
          <w:i w:val="0"/>
          <w:sz w:val="24"/>
        </w:rPr>
        <w:t>12</w:t>
      </w:r>
      <w:r w:rsidRPr="0058008E">
        <w:rPr>
          <w:rFonts w:ascii="Times New Roman" w:hAnsi="Times New Roman"/>
          <w:b w:val="0"/>
          <w:i w:val="0"/>
          <w:sz w:val="24"/>
        </w:rPr>
        <w:t xml:space="preserve"> decyzji wymiarowych oraz</w:t>
      </w:r>
      <w:r w:rsidR="002776C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8C485B" w:rsidRPr="0058008E">
        <w:rPr>
          <w:rFonts w:ascii="Times New Roman" w:hAnsi="Times New Roman"/>
          <w:b w:val="0"/>
          <w:i w:val="0"/>
          <w:sz w:val="24"/>
        </w:rPr>
        <w:t>1</w:t>
      </w:r>
      <w:r w:rsidR="0072278A" w:rsidRPr="0058008E">
        <w:rPr>
          <w:rFonts w:ascii="Times New Roman" w:hAnsi="Times New Roman"/>
          <w:b w:val="0"/>
          <w:i w:val="0"/>
          <w:sz w:val="24"/>
        </w:rPr>
        <w:t>.</w:t>
      </w:r>
      <w:r w:rsidR="00D055F8" w:rsidRPr="0058008E">
        <w:rPr>
          <w:rFonts w:ascii="Times New Roman" w:hAnsi="Times New Roman"/>
          <w:b w:val="0"/>
          <w:i w:val="0"/>
          <w:sz w:val="24"/>
        </w:rPr>
        <w:t>2</w:t>
      </w:r>
      <w:r w:rsidR="00AB4E28" w:rsidRPr="0058008E">
        <w:rPr>
          <w:rFonts w:ascii="Times New Roman" w:hAnsi="Times New Roman"/>
          <w:b w:val="0"/>
          <w:i w:val="0"/>
          <w:sz w:val="24"/>
        </w:rPr>
        <w:t>80</w:t>
      </w:r>
      <w:r w:rsidRPr="0058008E">
        <w:rPr>
          <w:rFonts w:ascii="Times New Roman" w:hAnsi="Times New Roman"/>
          <w:b w:val="0"/>
          <w:i w:val="0"/>
          <w:sz w:val="24"/>
        </w:rPr>
        <w:t xml:space="preserve"> decyzji zmieniających wymiar. </w:t>
      </w:r>
    </w:p>
    <w:bookmarkEnd w:id="8"/>
    <w:p w14:paraId="3135F4C7" w14:textId="5143159F" w:rsidR="00993DF1" w:rsidRPr="0058008E" w:rsidRDefault="0049746F" w:rsidP="001F7DF7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Kolejną pozycję w strukturze podatków i opłat lokalnych zajęły wpływy z tzw. </w:t>
      </w:r>
      <w:r w:rsidRPr="0058008E">
        <w:rPr>
          <w:rFonts w:ascii="Times New Roman" w:hAnsi="Times New Roman"/>
          <w:i w:val="0"/>
          <w:sz w:val="24"/>
        </w:rPr>
        <w:t>„opłaty śmieciowej”</w:t>
      </w:r>
      <w:r w:rsidRPr="0058008E">
        <w:rPr>
          <w:rFonts w:ascii="Times New Roman" w:hAnsi="Times New Roman"/>
          <w:b w:val="0"/>
          <w:i w:val="0"/>
          <w:sz w:val="24"/>
        </w:rPr>
        <w:t xml:space="preserve"> uiszczanej przez właścicieli nieruchomości </w:t>
      </w:r>
      <w:r w:rsidR="00E96113" w:rsidRPr="0058008E">
        <w:rPr>
          <w:rFonts w:ascii="Times New Roman" w:hAnsi="Times New Roman"/>
          <w:b w:val="0"/>
          <w:i w:val="0"/>
          <w:sz w:val="24"/>
        </w:rPr>
        <w:t xml:space="preserve">i firmy </w:t>
      </w:r>
      <w:r w:rsidRPr="0058008E">
        <w:rPr>
          <w:rFonts w:ascii="Times New Roman" w:hAnsi="Times New Roman"/>
          <w:b w:val="0"/>
          <w:i w:val="0"/>
          <w:sz w:val="24"/>
        </w:rPr>
        <w:t xml:space="preserve">za odbiór odpadów komunalnych. Wpływy </w:t>
      </w:r>
      <w:r w:rsidR="0050294F" w:rsidRPr="0058008E">
        <w:rPr>
          <w:rFonts w:ascii="Times New Roman" w:hAnsi="Times New Roman"/>
          <w:b w:val="0"/>
          <w:i w:val="0"/>
          <w:sz w:val="24"/>
        </w:rPr>
        <w:t xml:space="preserve">uzyskane </w:t>
      </w:r>
      <w:r w:rsidRPr="0058008E">
        <w:rPr>
          <w:rFonts w:ascii="Times New Roman" w:hAnsi="Times New Roman"/>
          <w:b w:val="0"/>
          <w:i w:val="0"/>
          <w:sz w:val="24"/>
        </w:rPr>
        <w:t xml:space="preserve">z </w:t>
      </w:r>
      <w:r w:rsidR="00AE66BC" w:rsidRPr="0058008E">
        <w:rPr>
          <w:rFonts w:ascii="Times New Roman" w:hAnsi="Times New Roman"/>
          <w:b w:val="0"/>
          <w:i w:val="0"/>
          <w:sz w:val="24"/>
        </w:rPr>
        <w:t xml:space="preserve">tego tytułu były </w:t>
      </w:r>
      <w:r w:rsidR="0050294F" w:rsidRPr="0058008E">
        <w:rPr>
          <w:rFonts w:ascii="Times New Roman" w:hAnsi="Times New Roman"/>
          <w:b w:val="0"/>
          <w:i w:val="0"/>
          <w:sz w:val="24"/>
        </w:rPr>
        <w:t xml:space="preserve">wyższe o </w:t>
      </w:r>
      <w:r w:rsidR="00671D26" w:rsidRPr="0058008E">
        <w:rPr>
          <w:rFonts w:ascii="Times New Roman" w:hAnsi="Times New Roman"/>
          <w:b w:val="0"/>
          <w:i w:val="0"/>
          <w:sz w:val="24"/>
        </w:rPr>
        <w:t>0</w:t>
      </w:r>
      <w:r w:rsidR="0050294F" w:rsidRPr="0058008E">
        <w:rPr>
          <w:rFonts w:ascii="Times New Roman" w:hAnsi="Times New Roman"/>
          <w:b w:val="0"/>
          <w:i w:val="0"/>
          <w:sz w:val="24"/>
        </w:rPr>
        <w:t>,</w:t>
      </w:r>
      <w:r w:rsidR="00671D26" w:rsidRPr="0058008E">
        <w:rPr>
          <w:rFonts w:ascii="Times New Roman" w:hAnsi="Times New Roman"/>
          <w:b w:val="0"/>
          <w:i w:val="0"/>
          <w:sz w:val="24"/>
        </w:rPr>
        <w:t>7</w:t>
      </w:r>
      <w:r w:rsidR="005F3D4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71D26" w:rsidRPr="0058008E">
        <w:rPr>
          <w:rFonts w:ascii="Times New Roman" w:hAnsi="Times New Roman"/>
          <w:b w:val="0"/>
          <w:i w:val="0"/>
          <w:sz w:val="24"/>
        </w:rPr>
        <w:t xml:space="preserve">mln </w:t>
      </w:r>
      <w:r w:rsidRPr="0058008E">
        <w:rPr>
          <w:rFonts w:ascii="Times New Roman" w:hAnsi="Times New Roman"/>
          <w:b w:val="0"/>
          <w:i w:val="0"/>
          <w:sz w:val="24"/>
        </w:rPr>
        <w:t xml:space="preserve">i wyniosły </w:t>
      </w:r>
      <w:r w:rsidR="00A04232" w:rsidRPr="0058008E">
        <w:rPr>
          <w:rFonts w:ascii="Times New Roman" w:hAnsi="Times New Roman"/>
          <w:b w:val="0"/>
          <w:i w:val="0"/>
          <w:sz w:val="24"/>
        </w:rPr>
        <w:t>2</w:t>
      </w:r>
      <w:r w:rsidR="00FC7A82" w:rsidRPr="0058008E">
        <w:rPr>
          <w:rFonts w:ascii="Times New Roman" w:hAnsi="Times New Roman"/>
          <w:b w:val="0"/>
          <w:i w:val="0"/>
          <w:sz w:val="24"/>
        </w:rPr>
        <w:t>7</w:t>
      </w:r>
      <w:r w:rsidR="00A04232" w:rsidRPr="0058008E">
        <w:rPr>
          <w:rFonts w:ascii="Times New Roman" w:hAnsi="Times New Roman"/>
          <w:b w:val="0"/>
          <w:i w:val="0"/>
          <w:sz w:val="24"/>
        </w:rPr>
        <w:t>,</w:t>
      </w:r>
      <w:r w:rsidR="00671D26" w:rsidRPr="0058008E">
        <w:rPr>
          <w:rFonts w:ascii="Times New Roman" w:hAnsi="Times New Roman"/>
          <w:b w:val="0"/>
          <w:i w:val="0"/>
          <w:sz w:val="24"/>
        </w:rPr>
        <w:t>8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 zajmując w strukturze podatków</w:t>
      </w:r>
      <w:r w:rsidR="00916B5A" w:rsidRPr="0058008E">
        <w:rPr>
          <w:rFonts w:ascii="Times New Roman" w:hAnsi="Times New Roman"/>
          <w:b w:val="0"/>
          <w:i w:val="0"/>
          <w:sz w:val="24"/>
        </w:rPr>
        <w:t xml:space="preserve"> i opłat </w:t>
      </w:r>
      <w:r w:rsidR="00AE201C" w:rsidRPr="0058008E">
        <w:rPr>
          <w:rFonts w:ascii="Times New Roman" w:hAnsi="Times New Roman"/>
          <w:b w:val="0"/>
          <w:i w:val="0"/>
          <w:sz w:val="24"/>
        </w:rPr>
        <w:t xml:space="preserve">lokalnych </w:t>
      </w:r>
      <w:r w:rsidR="00671D26" w:rsidRPr="0058008E">
        <w:rPr>
          <w:rFonts w:ascii="Times New Roman" w:hAnsi="Times New Roman"/>
          <w:b w:val="0"/>
          <w:i w:val="0"/>
          <w:sz w:val="24"/>
        </w:rPr>
        <w:t>2</w:t>
      </w:r>
      <w:r w:rsidR="000C32D2">
        <w:rPr>
          <w:rFonts w:ascii="Times New Roman" w:hAnsi="Times New Roman"/>
          <w:b w:val="0"/>
          <w:i w:val="0"/>
          <w:sz w:val="24"/>
        </w:rPr>
        <w:t>6</w:t>
      </w:r>
      <w:r w:rsidR="00671D26" w:rsidRPr="0058008E">
        <w:rPr>
          <w:rFonts w:ascii="Times New Roman" w:hAnsi="Times New Roman"/>
          <w:b w:val="0"/>
          <w:i w:val="0"/>
          <w:sz w:val="24"/>
        </w:rPr>
        <w:t>,</w:t>
      </w:r>
      <w:r w:rsidR="000C32D2">
        <w:rPr>
          <w:rFonts w:ascii="Times New Roman" w:hAnsi="Times New Roman"/>
          <w:b w:val="0"/>
          <w:i w:val="0"/>
          <w:sz w:val="24"/>
        </w:rPr>
        <w:t>24</w:t>
      </w:r>
      <w:r w:rsidRPr="0058008E">
        <w:rPr>
          <w:rFonts w:ascii="Times New Roman" w:hAnsi="Times New Roman"/>
          <w:b w:val="0"/>
          <w:i w:val="0"/>
          <w:sz w:val="24"/>
        </w:rPr>
        <w:t>%.</w:t>
      </w:r>
    </w:p>
    <w:p w14:paraId="7DFC4257" w14:textId="0CD4171A" w:rsidR="00B75561" w:rsidRPr="0058008E" w:rsidRDefault="006C0285" w:rsidP="00D96149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Wysoki udział w podatkach i opłatach lokalnych w badanym okresie miał również </w:t>
      </w:r>
      <w:r w:rsidRPr="0058008E">
        <w:rPr>
          <w:rFonts w:ascii="Times New Roman" w:hAnsi="Times New Roman"/>
          <w:i w:val="0"/>
          <w:sz w:val="24"/>
        </w:rPr>
        <w:t>podatek od czynności cywilno-prawnych</w:t>
      </w:r>
      <w:r w:rsidRPr="0058008E">
        <w:rPr>
          <w:rFonts w:ascii="Times New Roman" w:hAnsi="Times New Roman"/>
          <w:b w:val="0"/>
          <w:i w:val="0"/>
          <w:sz w:val="24"/>
        </w:rPr>
        <w:t>, który w strukturze</w:t>
      </w:r>
      <w:r w:rsidR="009C2C05" w:rsidRPr="0058008E">
        <w:rPr>
          <w:rFonts w:ascii="Times New Roman" w:hAnsi="Times New Roman"/>
          <w:b w:val="0"/>
          <w:i w:val="0"/>
          <w:sz w:val="24"/>
        </w:rPr>
        <w:t xml:space="preserve"> tych dochodów s</w:t>
      </w:r>
      <w:r w:rsidR="00AE66BC" w:rsidRPr="0058008E">
        <w:rPr>
          <w:rFonts w:ascii="Times New Roman" w:hAnsi="Times New Roman"/>
          <w:b w:val="0"/>
          <w:i w:val="0"/>
          <w:sz w:val="24"/>
        </w:rPr>
        <w:t xml:space="preserve">tanowił aż </w:t>
      </w:r>
      <w:r w:rsidR="0050294F" w:rsidRPr="0058008E">
        <w:rPr>
          <w:rFonts w:ascii="Times New Roman" w:hAnsi="Times New Roman"/>
          <w:b w:val="0"/>
          <w:i w:val="0"/>
          <w:sz w:val="24"/>
        </w:rPr>
        <w:t>1</w:t>
      </w:r>
      <w:r w:rsidR="000C32D2">
        <w:rPr>
          <w:rFonts w:ascii="Times New Roman" w:hAnsi="Times New Roman"/>
          <w:b w:val="0"/>
          <w:i w:val="0"/>
          <w:sz w:val="24"/>
        </w:rPr>
        <w:t>2</w:t>
      </w:r>
      <w:r w:rsidR="0050294F" w:rsidRPr="0058008E">
        <w:rPr>
          <w:rFonts w:ascii="Times New Roman" w:hAnsi="Times New Roman"/>
          <w:b w:val="0"/>
          <w:i w:val="0"/>
          <w:sz w:val="24"/>
        </w:rPr>
        <w:t>,</w:t>
      </w:r>
      <w:r w:rsidR="000C32D2">
        <w:rPr>
          <w:rFonts w:ascii="Times New Roman" w:hAnsi="Times New Roman"/>
          <w:b w:val="0"/>
          <w:i w:val="0"/>
          <w:sz w:val="24"/>
        </w:rPr>
        <w:t>61</w:t>
      </w:r>
      <w:r w:rsidRPr="0058008E">
        <w:rPr>
          <w:rFonts w:ascii="Times New Roman" w:hAnsi="Times New Roman"/>
          <w:b w:val="0"/>
          <w:i w:val="0"/>
          <w:sz w:val="24"/>
        </w:rPr>
        <w:t>%. Podatkowi od czynności cywilno-prawnych podlegają umo</w:t>
      </w:r>
      <w:r w:rsidR="00DB6AC2" w:rsidRPr="0058008E">
        <w:rPr>
          <w:rFonts w:ascii="Times New Roman" w:hAnsi="Times New Roman"/>
          <w:b w:val="0"/>
          <w:i w:val="0"/>
          <w:sz w:val="24"/>
        </w:rPr>
        <w:t>wy sprzedaży oraz zamiany rzecz</w:t>
      </w:r>
      <w:r w:rsidR="008C485B" w:rsidRPr="0058008E">
        <w:rPr>
          <w:rFonts w:ascii="Times New Roman" w:hAnsi="Times New Roman"/>
          <w:b w:val="0"/>
          <w:i w:val="0"/>
          <w:sz w:val="24"/>
        </w:rPr>
        <w:t>y</w:t>
      </w:r>
      <w:r w:rsidR="00C14C4A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i praw majątkowych, umowy pożyczki, umowy darowizny. Podatek ten pobierany jest za pośrednictwem </w:t>
      </w:r>
      <w:r w:rsidR="00C16A4A" w:rsidRPr="0058008E">
        <w:rPr>
          <w:rFonts w:ascii="Times New Roman" w:hAnsi="Times New Roman"/>
          <w:b w:val="0"/>
          <w:i w:val="0"/>
          <w:sz w:val="24"/>
        </w:rPr>
        <w:t>u</w:t>
      </w:r>
      <w:r w:rsidRPr="0058008E">
        <w:rPr>
          <w:rFonts w:ascii="Times New Roman" w:hAnsi="Times New Roman"/>
          <w:b w:val="0"/>
          <w:i w:val="0"/>
          <w:sz w:val="24"/>
        </w:rPr>
        <w:t xml:space="preserve">rzędów </w:t>
      </w:r>
      <w:r w:rsidR="00C16A4A" w:rsidRPr="0058008E">
        <w:rPr>
          <w:rFonts w:ascii="Times New Roman" w:hAnsi="Times New Roman"/>
          <w:b w:val="0"/>
          <w:i w:val="0"/>
          <w:sz w:val="24"/>
        </w:rPr>
        <w:t>s</w:t>
      </w:r>
      <w:r w:rsidRPr="0058008E">
        <w:rPr>
          <w:rFonts w:ascii="Times New Roman" w:hAnsi="Times New Roman"/>
          <w:b w:val="0"/>
          <w:i w:val="0"/>
          <w:sz w:val="24"/>
        </w:rPr>
        <w:t xml:space="preserve">karbowych. Jest on trudny do </w:t>
      </w:r>
      <w:r w:rsidR="00D95A0F" w:rsidRPr="0058008E">
        <w:rPr>
          <w:rFonts w:ascii="Times New Roman" w:hAnsi="Times New Roman"/>
          <w:b w:val="0"/>
          <w:i w:val="0"/>
          <w:sz w:val="24"/>
        </w:rPr>
        <w:t>zaplanowania,</w:t>
      </w:r>
      <w:r w:rsidRPr="0058008E">
        <w:rPr>
          <w:rFonts w:ascii="Times New Roman" w:hAnsi="Times New Roman"/>
          <w:b w:val="0"/>
          <w:i w:val="0"/>
          <w:sz w:val="24"/>
        </w:rPr>
        <w:t xml:space="preserve"> ponieważ </w:t>
      </w:r>
      <w:r w:rsidR="009203DC" w:rsidRPr="0058008E">
        <w:rPr>
          <w:rFonts w:ascii="Times New Roman" w:hAnsi="Times New Roman"/>
          <w:b w:val="0"/>
          <w:i w:val="0"/>
          <w:sz w:val="24"/>
        </w:rPr>
        <w:t>niełatwo</w:t>
      </w:r>
      <w:r w:rsidRPr="0058008E">
        <w:rPr>
          <w:rFonts w:ascii="Times New Roman" w:hAnsi="Times New Roman"/>
          <w:b w:val="0"/>
          <w:i w:val="0"/>
          <w:sz w:val="24"/>
        </w:rPr>
        <w:t xml:space="preserve"> przewidzieć ilość </w:t>
      </w:r>
      <w:r w:rsidR="0018163D" w:rsidRPr="0058008E">
        <w:rPr>
          <w:rFonts w:ascii="Times New Roman" w:hAnsi="Times New Roman"/>
          <w:b w:val="0"/>
          <w:i w:val="0"/>
          <w:sz w:val="24"/>
        </w:rPr>
        <w:t>czynności podlegających opodatkowaniu w ciągu roku</w:t>
      </w:r>
      <w:r w:rsidRPr="0058008E">
        <w:rPr>
          <w:rFonts w:ascii="Times New Roman" w:hAnsi="Times New Roman"/>
          <w:b w:val="0"/>
          <w:i w:val="0"/>
          <w:sz w:val="24"/>
        </w:rPr>
        <w:t>.</w:t>
      </w:r>
      <w:r w:rsidR="0049746F" w:rsidRPr="0058008E">
        <w:rPr>
          <w:rFonts w:ascii="Times New Roman" w:hAnsi="Times New Roman"/>
          <w:b w:val="0"/>
          <w:i w:val="0"/>
          <w:sz w:val="24"/>
        </w:rPr>
        <w:t xml:space="preserve"> Wpływy z tego źró</w:t>
      </w:r>
      <w:r w:rsidR="00AE66BC" w:rsidRPr="0058008E">
        <w:rPr>
          <w:rFonts w:ascii="Times New Roman" w:hAnsi="Times New Roman"/>
          <w:b w:val="0"/>
          <w:i w:val="0"/>
          <w:sz w:val="24"/>
        </w:rPr>
        <w:t xml:space="preserve">dła wyniosły w roku </w:t>
      </w:r>
      <w:r w:rsidR="00D95A0F" w:rsidRPr="0058008E">
        <w:rPr>
          <w:rFonts w:ascii="Times New Roman" w:hAnsi="Times New Roman"/>
          <w:b w:val="0"/>
          <w:i w:val="0"/>
          <w:sz w:val="24"/>
        </w:rPr>
        <w:t>202</w:t>
      </w:r>
      <w:r w:rsidR="00B956B4" w:rsidRPr="0058008E">
        <w:rPr>
          <w:rFonts w:ascii="Times New Roman" w:hAnsi="Times New Roman"/>
          <w:b w:val="0"/>
          <w:i w:val="0"/>
          <w:sz w:val="24"/>
        </w:rPr>
        <w:t>5</w:t>
      </w:r>
      <w:r w:rsidR="00D95A0F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C7A82" w:rsidRPr="0058008E">
        <w:rPr>
          <w:rFonts w:ascii="Times New Roman" w:hAnsi="Times New Roman"/>
          <w:b w:val="0"/>
          <w:i w:val="0"/>
          <w:sz w:val="24"/>
        </w:rPr>
        <w:t>1</w:t>
      </w:r>
      <w:r w:rsidR="00B956B4" w:rsidRPr="0058008E">
        <w:rPr>
          <w:rFonts w:ascii="Times New Roman" w:hAnsi="Times New Roman"/>
          <w:b w:val="0"/>
          <w:i w:val="0"/>
          <w:sz w:val="24"/>
        </w:rPr>
        <w:t>3</w:t>
      </w:r>
      <w:r w:rsidR="00FC7A82" w:rsidRPr="0058008E">
        <w:rPr>
          <w:rFonts w:ascii="Times New Roman" w:hAnsi="Times New Roman"/>
          <w:b w:val="0"/>
          <w:i w:val="0"/>
          <w:sz w:val="24"/>
        </w:rPr>
        <w:t>,</w:t>
      </w:r>
      <w:r w:rsidR="00B956B4" w:rsidRPr="0058008E">
        <w:rPr>
          <w:rFonts w:ascii="Times New Roman" w:hAnsi="Times New Roman"/>
          <w:b w:val="0"/>
          <w:i w:val="0"/>
          <w:sz w:val="24"/>
        </w:rPr>
        <w:t>3</w:t>
      </w:r>
      <w:r w:rsidR="0049746F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741862" w:rsidRPr="0058008E">
        <w:rPr>
          <w:rFonts w:ascii="Times New Roman" w:hAnsi="Times New Roman"/>
          <w:b w:val="0"/>
          <w:i w:val="0"/>
          <w:sz w:val="24"/>
        </w:rPr>
        <w:t xml:space="preserve"> i były </w:t>
      </w:r>
      <w:r w:rsidR="00FC7A82" w:rsidRPr="0058008E">
        <w:rPr>
          <w:rFonts w:ascii="Times New Roman" w:hAnsi="Times New Roman"/>
          <w:b w:val="0"/>
          <w:i w:val="0"/>
          <w:sz w:val="24"/>
        </w:rPr>
        <w:t>wyższe</w:t>
      </w:r>
      <w:r w:rsidR="006F65F7" w:rsidRPr="0058008E">
        <w:rPr>
          <w:rFonts w:ascii="Times New Roman" w:hAnsi="Times New Roman"/>
          <w:b w:val="0"/>
          <w:i w:val="0"/>
          <w:sz w:val="24"/>
        </w:rPr>
        <w:t xml:space="preserve"> o</w:t>
      </w:r>
      <w:r w:rsidR="00AE66B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B956B4" w:rsidRPr="0058008E">
        <w:rPr>
          <w:rFonts w:ascii="Times New Roman" w:hAnsi="Times New Roman"/>
          <w:b w:val="0"/>
          <w:i w:val="0"/>
          <w:sz w:val="24"/>
        </w:rPr>
        <w:t>0</w:t>
      </w:r>
      <w:r w:rsidR="00AE66BC" w:rsidRPr="0058008E">
        <w:rPr>
          <w:rFonts w:ascii="Times New Roman" w:hAnsi="Times New Roman"/>
          <w:b w:val="0"/>
          <w:i w:val="0"/>
          <w:sz w:val="24"/>
        </w:rPr>
        <w:t>,</w:t>
      </w:r>
      <w:r w:rsidR="00B956B4" w:rsidRPr="0058008E">
        <w:rPr>
          <w:rFonts w:ascii="Times New Roman" w:hAnsi="Times New Roman"/>
          <w:b w:val="0"/>
          <w:i w:val="0"/>
          <w:sz w:val="24"/>
        </w:rPr>
        <w:t>8</w:t>
      </w:r>
      <w:r w:rsidR="006F65F7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5F3D41" w:rsidRPr="0058008E">
        <w:rPr>
          <w:rFonts w:ascii="Times New Roman" w:hAnsi="Times New Roman"/>
          <w:b w:val="0"/>
          <w:i w:val="0"/>
          <w:sz w:val="24"/>
        </w:rPr>
        <w:t>mln zł od uzyskanych w roku poprzednim.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518A11D2" w14:textId="77777777" w:rsidR="0049746F" w:rsidRPr="0058008E" w:rsidRDefault="0049746F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38DA75D6" w14:textId="30F9F8EF" w:rsidR="008F6757" w:rsidRPr="0058008E" w:rsidRDefault="006E47F7" w:rsidP="00AE201C">
      <w:pPr>
        <w:pStyle w:val="Tekstpodstawowy2"/>
        <w:ind w:firstLine="708"/>
        <w:jc w:val="both"/>
        <w:rPr>
          <w:rFonts w:ascii="Times New Roman" w:hAnsi="Times New Roman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Innym znaczą</w:t>
      </w:r>
      <w:r w:rsidR="0049746F" w:rsidRPr="0058008E">
        <w:rPr>
          <w:rFonts w:ascii="Times New Roman" w:hAnsi="Times New Roman"/>
          <w:b w:val="0"/>
          <w:i w:val="0"/>
          <w:sz w:val="24"/>
        </w:rPr>
        <w:t xml:space="preserve">cym źródłem dochodów są opłaty </w:t>
      </w:r>
      <w:r w:rsidR="0049746F" w:rsidRPr="0058008E">
        <w:rPr>
          <w:rFonts w:ascii="Times New Roman" w:hAnsi="Times New Roman"/>
          <w:i w:val="0"/>
          <w:sz w:val="24"/>
        </w:rPr>
        <w:t>za parkow</w:t>
      </w:r>
      <w:r w:rsidR="00026D9A" w:rsidRPr="0058008E">
        <w:rPr>
          <w:rFonts w:ascii="Times New Roman" w:hAnsi="Times New Roman"/>
          <w:i w:val="0"/>
          <w:sz w:val="24"/>
        </w:rPr>
        <w:t>anie w strefie płatnego</w:t>
      </w:r>
      <w:r w:rsidR="00DD4154" w:rsidRPr="0058008E">
        <w:rPr>
          <w:rFonts w:ascii="Times New Roman" w:hAnsi="Times New Roman"/>
          <w:i w:val="0"/>
          <w:sz w:val="24"/>
        </w:rPr>
        <w:t xml:space="preserve"> </w:t>
      </w:r>
      <w:r w:rsidR="00026D9A" w:rsidRPr="0058008E">
        <w:rPr>
          <w:rFonts w:ascii="Times New Roman" w:hAnsi="Times New Roman"/>
          <w:i w:val="0"/>
          <w:sz w:val="24"/>
        </w:rPr>
        <w:t>parkowania</w:t>
      </w:r>
      <w:r w:rsidR="00451EA2" w:rsidRPr="0058008E">
        <w:rPr>
          <w:rFonts w:ascii="Times New Roman" w:hAnsi="Times New Roman"/>
          <w:i w:val="0"/>
          <w:sz w:val="24"/>
        </w:rPr>
        <w:t xml:space="preserve">  - </w:t>
      </w:r>
      <w:r w:rsidR="00451EA2" w:rsidRPr="0058008E">
        <w:rPr>
          <w:rFonts w:ascii="Times New Roman" w:hAnsi="Times New Roman"/>
          <w:b w:val="0"/>
          <w:bCs/>
          <w:i w:val="0"/>
          <w:sz w:val="24"/>
        </w:rPr>
        <w:t>11,1 mln zł</w:t>
      </w:r>
      <w:r w:rsidR="0027084A" w:rsidRPr="0058008E">
        <w:rPr>
          <w:rFonts w:ascii="Times New Roman" w:hAnsi="Times New Roman"/>
          <w:b w:val="0"/>
          <w:i w:val="0"/>
          <w:sz w:val="24"/>
        </w:rPr>
        <w:t xml:space="preserve"> i </w:t>
      </w:r>
      <w:r w:rsidR="0027084A" w:rsidRPr="0058008E">
        <w:rPr>
          <w:rFonts w:ascii="Times New Roman" w:hAnsi="Times New Roman"/>
          <w:i w:val="0"/>
          <w:sz w:val="24"/>
        </w:rPr>
        <w:t>zajecie pasa drogowego</w:t>
      </w:r>
      <w:r w:rsidR="003C23EE" w:rsidRPr="0058008E">
        <w:rPr>
          <w:rFonts w:ascii="Times New Roman" w:hAnsi="Times New Roman"/>
          <w:b w:val="0"/>
          <w:i w:val="0"/>
          <w:sz w:val="24"/>
        </w:rPr>
        <w:t xml:space="preserve"> – </w:t>
      </w:r>
      <w:r w:rsidR="00451EA2" w:rsidRPr="0058008E">
        <w:rPr>
          <w:rFonts w:ascii="Times New Roman" w:hAnsi="Times New Roman"/>
          <w:b w:val="0"/>
          <w:i w:val="0"/>
          <w:sz w:val="24"/>
        </w:rPr>
        <w:t>1,5</w:t>
      </w:r>
      <w:r w:rsidR="003C23EE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99356B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2FE776B3" w14:textId="77777777" w:rsidR="00993DF1" w:rsidRPr="0058008E" w:rsidRDefault="00993DF1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60FFA61A" w14:textId="39979BBF" w:rsidR="00993DF1" w:rsidRPr="0058008E" w:rsidRDefault="006C0285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Na </w:t>
      </w:r>
      <w:r w:rsidR="008E1D22" w:rsidRPr="0058008E">
        <w:rPr>
          <w:rFonts w:ascii="Times New Roman" w:hAnsi="Times New Roman"/>
          <w:b w:val="0"/>
          <w:i w:val="0"/>
          <w:sz w:val="24"/>
        </w:rPr>
        <w:t xml:space="preserve">zbliżonym do </w:t>
      </w:r>
      <w:r w:rsidR="0018163D" w:rsidRPr="0058008E">
        <w:rPr>
          <w:rFonts w:ascii="Times New Roman" w:hAnsi="Times New Roman"/>
          <w:b w:val="0"/>
          <w:i w:val="0"/>
          <w:sz w:val="24"/>
        </w:rPr>
        <w:t xml:space="preserve">ubiegłego </w:t>
      </w:r>
      <w:r w:rsidR="008E1D22" w:rsidRPr="0058008E">
        <w:rPr>
          <w:rFonts w:ascii="Times New Roman" w:hAnsi="Times New Roman"/>
          <w:b w:val="0"/>
          <w:i w:val="0"/>
          <w:sz w:val="24"/>
        </w:rPr>
        <w:t>roku poziomie</w:t>
      </w:r>
      <w:r w:rsidRPr="0058008E">
        <w:rPr>
          <w:rFonts w:ascii="Times New Roman" w:hAnsi="Times New Roman"/>
          <w:b w:val="0"/>
          <w:i w:val="0"/>
          <w:sz w:val="24"/>
        </w:rPr>
        <w:t xml:space="preserve"> ukształtowały się dochody</w:t>
      </w:r>
      <w:r w:rsidR="00DD415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z</w:t>
      </w:r>
      <w:r w:rsidR="00036EF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tytułu</w:t>
      </w:r>
      <w:r w:rsidR="00DD415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i w:val="0"/>
          <w:sz w:val="24"/>
        </w:rPr>
        <w:t xml:space="preserve">podatku od środków transportowych. </w:t>
      </w:r>
      <w:r w:rsidRPr="0058008E">
        <w:rPr>
          <w:rFonts w:ascii="Times New Roman" w:hAnsi="Times New Roman"/>
          <w:b w:val="0"/>
          <w:i w:val="0"/>
          <w:sz w:val="24"/>
        </w:rPr>
        <w:t>Wyniosły one</w:t>
      </w:r>
      <w:r w:rsidR="0027084A" w:rsidRPr="0058008E">
        <w:rPr>
          <w:rFonts w:ascii="Times New Roman" w:hAnsi="Times New Roman"/>
          <w:b w:val="0"/>
          <w:i w:val="0"/>
          <w:sz w:val="24"/>
        </w:rPr>
        <w:t xml:space="preserve"> niespełna</w:t>
      </w:r>
      <w:r w:rsidR="001D302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27084A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1D3025" w:rsidRPr="0058008E">
        <w:rPr>
          <w:rFonts w:ascii="Times New Roman" w:hAnsi="Times New Roman"/>
          <w:b w:val="0"/>
          <w:i w:val="0"/>
          <w:sz w:val="24"/>
        </w:rPr>
        <w:t>0,</w:t>
      </w:r>
      <w:r w:rsidR="00B10CBD" w:rsidRPr="0058008E">
        <w:rPr>
          <w:rFonts w:ascii="Times New Roman" w:hAnsi="Times New Roman"/>
          <w:b w:val="0"/>
          <w:i w:val="0"/>
          <w:sz w:val="24"/>
        </w:rPr>
        <w:t>4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4F292B" w:rsidRPr="0058008E">
        <w:rPr>
          <w:rFonts w:ascii="Times New Roman" w:hAnsi="Times New Roman"/>
          <w:b w:val="0"/>
          <w:i w:val="0"/>
          <w:sz w:val="24"/>
        </w:rPr>
        <w:t>.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4A940DE2" w14:textId="30464B80" w:rsidR="008C485B" w:rsidRPr="0058008E" w:rsidRDefault="00D309B4" w:rsidP="00611E1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Następne miejsce zajęły w</w:t>
      </w:r>
      <w:r w:rsidR="00AF1AAF" w:rsidRPr="0058008E">
        <w:rPr>
          <w:rFonts w:ascii="Times New Roman" w:hAnsi="Times New Roman"/>
          <w:b w:val="0"/>
          <w:i w:val="0"/>
          <w:sz w:val="24"/>
        </w:rPr>
        <w:t xml:space="preserve">pływy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z </w:t>
      </w:r>
      <w:r w:rsidR="006C0285" w:rsidRPr="0058008E">
        <w:rPr>
          <w:rFonts w:ascii="Times New Roman" w:hAnsi="Times New Roman"/>
          <w:i w:val="0"/>
          <w:sz w:val="24"/>
        </w:rPr>
        <w:t>opłaty uzdrowiskowej</w:t>
      </w:r>
      <w:r w:rsidR="00036EF1" w:rsidRPr="0058008E">
        <w:rPr>
          <w:rFonts w:ascii="Times New Roman" w:hAnsi="Times New Roman"/>
          <w:b w:val="0"/>
          <w:i w:val="0"/>
          <w:sz w:val="24"/>
        </w:rPr>
        <w:t>, które w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strukturze dochodów z podatków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i opłat lokalnych stanowił</w:t>
      </w:r>
      <w:r w:rsidR="00036EF1" w:rsidRPr="0058008E">
        <w:rPr>
          <w:rFonts w:ascii="Times New Roman" w:hAnsi="Times New Roman"/>
          <w:b w:val="0"/>
          <w:i w:val="0"/>
          <w:sz w:val="24"/>
        </w:rPr>
        <w:t>y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w roku ubiegłym </w:t>
      </w:r>
      <w:r w:rsidR="00FC7A82" w:rsidRPr="0058008E">
        <w:rPr>
          <w:rFonts w:ascii="Times New Roman" w:hAnsi="Times New Roman"/>
          <w:b w:val="0"/>
          <w:i w:val="0"/>
          <w:sz w:val="24"/>
        </w:rPr>
        <w:t>5,</w:t>
      </w:r>
      <w:r w:rsidR="00DE5C8A" w:rsidRPr="0058008E">
        <w:rPr>
          <w:rFonts w:ascii="Times New Roman" w:hAnsi="Times New Roman"/>
          <w:b w:val="0"/>
          <w:i w:val="0"/>
          <w:sz w:val="24"/>
        </w:rPr>
        <w:t>2</w:t>
      </w:r>
      <w:r w:rsidR="00FC7A82" w:rsidRPr="0058008E">
        <w:rPr>
          <w:rFonts w:ascii="Times New Roman" w:hAnsi="Times New Roman"/>
          <w:b w:val="0"/>
          <w:i w:val="0"/>
          <w:sz w:val="24"/>
        </w:rPr>
        <w:t>5</w:t>
      </w:r>
      <w:r w:rsidR="00137EDD" w:rsidRPr="0058008E">
        <w:rPr>
          <w:rFonts w:ascii="Times New Roman" w:hAnsi="Times New Roman"/>
          <w:b w:val="0"/>
          <w:i w:val="0"/>
          <w:sz w:val="24"/>
        </w:rPr>
        <w:t xml:space="preserve"> %</w:t>
      </w:r>
      <w:r w:rsidR="00137EDD"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14"/>
      </w:r>
      <w:r w:rsidR="001D3025" w:rsidRPr="0058008E">
        <w:rPr>
          <w:rFonts w:ascii="Times New Roman" w:hAnsi="Times New Roman"/>
          <w:b w:val="0"/>
          <w:i w:val="0"/>
          <w:sz w:val="24"/>
        </w:rPr>
        <w:t>. Wykonan</w:t>
      </w:r>
      <w:r w:rsidR="00662FA3" w:rsidRPr="0058008E">
        <w:rPr>
          <w:rFonts w:ascii="Times New Roman" w:hAnsi="Times New Roman"/>
          <w:b w:val="0"/>
          <w:i w:val="0"/>
          <w:sz w:val="24"/>
        </w:rPr>
        <w:t xml:space="preserve">e </w:t>
      </w:r>
      <w:r w:rsidR="00036EF1" w:rsidRPr="0058008E">
        <w:rPr>
          <w:rFonts w:ascii="Times New Roman" w:hAnsi="Times New Roman"/>
          <w:b w:val="0"/>
          <w:i w:val="0"/>
          <w:sz w:val="24"/>
        </w:rPr>
        <w:t>zostały w kwocie</w:t>
      </w:r>
      <w:r w:rsidR="008A6FD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C7A82" w:rsidRPr="0058008E">
        <w:rPr>
          <w:rFonts w:ascii="Times New Roman" w:hAnsi="Times New Roman"/>
          <w:b w:val="0"/>
          <w:i w:val="0"/>
          <w:sz w:val="24"/>
        </w:rPr>
        <w:t>4</w:t>
      </w:r>
      <w:r w:rsidR="00BF7588" w:rsidRPr="0058008E">
        <w:rPr>
          <w:rFonts w:ascii="Times New Roman" w:hAnsi="Times New Roman"/>
          <w:b w:val="0"/>
          <w:i w:val="0"/>
          <w:sz w:val="24"/>
        </w:rPr>
        <w:t>,</w:t>
      </w:r>
      <w:r w:rsidR="00DE5C8A" w:rsidRPr="0058008E">
        <w:rPr>
          <w:rFonts w:ascii="Times New Roman" w:hAnsi="Times New Roman"/>
          <w:b w:val="0"/>
          <w:i w:val="0"/>
          <w:sz w:val="24"/>
        </w:rPr>
        <w:t>9</w:t>
      </w:r>
      <w:r w:rsidR="00FB4C6E" w:rsidRPr="0058008E">
        <w:rPr>
          <w:rFonts w:ascii="Times New Roman" w:hAnsi="Times New Roman"/>
          <w:b w:val="0"/>
          <w:i w:val="0"/>
          <w:sz w:val="24"/>
        </w:rPr>
        <w:t xml:space="preserve"> mln</w:t>
      </w:r>
      <w:r w:rsidR="008A6FD8" w:rsidRPr="0058008E">
        <w:rPr>
          <w:rFonts w:ascii="Times New Roman" w:hAnsi="Times New Roman"/>
          <w:b w:val="0"/>
          <w:i w:val="0"/>
          <w:sz w:val="24"/>
        </w:rPr>
        <w:t xml:space="preserve"> zł tj. </w:t>
      </w:r>
      <w:r w:rsidR="004A305B" w:rsidRPr="0058008E">
        <w:rPr>
          <w:rFonts w:ascii="Times New Roman" w:hAnsi="Times New Roman"/>
          <w:b w:val="0"/>
          <w:i w:val="0"/>
          <w:sz w:val="24"/>
        </w:rPr>
        <w:t xml:space="preserve">w </w:t>
      </w:r>
      <w:r w:rsidR="001A1C97" w:rsidRPr="0058008E">
        <w:rPr>
          <w:rFonts w:ascii="Times New Roman" w:hAnsi="Times New Roman"/>
          <w:b w:val="0"/>
          <w:i w:val="0"/>
          <w:sz w:val="24"/>
        </w:rPr>
        <w:t>1</w:t>
      </w:r>
      <w:r w:rsidR="00FC7A82" w:rsidRPr="0058008E">
        <w:rPr>
          <w:rFonts w:ascii="Times New Roman" w:hAnsi="Times New Roman"/>
          <w:b w:val="0"/>
          <w:i w:val="0"/>
          <w:sz w:val="24"/>
        </w:rPr>
        <w:t>1</w:t>
      </w:r>
      <w:r w:rsidR="00DE5C8A" w:rsidRPr="0058008E">
        <w:rPr>
          <w:rFonts w:ascii="Times New Roman" w:hAnsi="Times New Roman"/>
          <w:b w:val="0"/>
          <w:i w:val="0"/>
          <w:sz w:val="24"/>
        </w:rPr>
        <w:t>2</w:t>
      </w:r>
      <w:r w:rsidR="001A1C97" w:rsidRPr="0058008E">
        <w:rPr>
          <w:rFonts w:ascii="Times New Roman" w:hAnsi="Times New Roman"/>
          <w:b w:val="0"/>
          <w:i w:val="0"/>
          <w:sz w:val="24"/>
        </w:rPr>
        <w:t>,</w:t>
      </w:r>
      <w:r w:rsidR="00DE5C8A" w:rsidRPr="0058008E">
        <w:rPr>
          <w:rFonts w:ascii="Times New Roman" w:hAnsi="Times New Roman"/>
          <w:b w:val="0"/>
          <w:i w:val="0"/>
          <w:sz w:val="24"/>
        </w:rPr>
        <w:t>62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% założonego planu</w:t>
      </w:r>
      <w:r w:rsidR="008C485B" w:rsidRPr="0058008E">
        <w:rPr>
          <w:rFonts w:ascii="Times New Roman" w:hAnsi="Times New Roman"/>
          <w:b w:val="0"/>
          <w:i w:val="0"/>
          <w:sz w:val="24"/>
        </w:rPr>
        <w:t xml:space="preserve">. </w:t>
      </w:r>
      <w:r w:rsidR="001E0A2D">
        <w:rPr>
          <w:rFonts w:ascii="Times New Roman" w:hAnsi="Times New Roman"/>
          <w:b w:val="0"/>
          <w:i w:val="0"/>
          <w:sz w:val="24"/>
        </w:rPr>
        <w:t>Wpływy z opłaty uzdrowiskowej w roku 2023 wyniosły 3,7 mln zł, a w 2024 4,4 mln zł.</w:t>
      </w:r>
    </w:p>
    <w:p w14:paraId="2CE57A29" w14:textId="77777777" w:rsidR="0055002B" w:rsidRPr="0058008E" w:rsidRDefault="00137EDD" w:rsidP="00611E1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Stały</w:t>
      </w:r>
      <w:r w:rsidR="00D309B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poziom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dochodów miasta z tytułu opłaty uzdrowiskowej pozwala stwierdzić, że miasto dobrze </w:t>
      </w:r>
      <w:r w:rsidR="00A52B9A" w:rsidRPr="0058008E">
        <w:rPr>
          <w:rFonts w:ascii="Times New Roman" w:hAnsi="Times New Roman"/>
          <w:b w:val="0"/>
          <w:i w:val="0"/>
          <w:sz w:val="24"/>
        </w:rPr>
        <w:t xml:space="preserve">jest </w:t>
      </w:r>
      <w:r w:rsidR="00036EF1" w:rsidRPr="0058008E">
        <w:rPr>
          <w:rFonts w:ascii="Times New Roman" w:hAnsi="Times New Roman"/>
          <w:b w:val="0"/>
          <w:i w:val="0"/>
          <w:sz w:val="24"/>
        </w:rPr>
        <w:t>postrzegane jako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nadmorski</w:t>
      </w:r>
      <w:r w:rsidR="001D3025" w:rsidRPr="0058008E">
        <w:rPr>
          <w:rFonts w:ascii="Times New Roman" w:hAnsi="Times New Roman"/>
          <w:b w:val="0"/>
          <w:i w:val="0"/>
          <w:sz w:val="24"/>
        </w:rPr>
        <w:t xml:space="preserve"> kurort</w:t>
      </w:r>
      <w:r w:rsidR="00036EF1" w:rsidRPr="0058008E">
        <w:rPr>
          <w:rFonts w:ascii="Times New Roman" w:hAnsi="Times New Roman"/>
          <w:b w:val="0"/>
          <w:i w:val="0"/>
          <w:sz w:val="24"/>
        </w:rPr>
        <w:t xml:space="preserve"> przez co </w:t>
      </w:r>
      <w:r w:rsidR="001D3025" w:rsidRPr="0058008E">
        <w:rPr>
          <w:rFonts w:ascii="Times New Roman" w:hAnsi="Times New Roman"/>
          <w:b w:val="0"/>
          <w:i w:val="0"/>
          <w:sz w:val="24"/>
        </w:rPr>
        <w:t xml:space="preserve">jest </w:t>
      </w:r>
      <w:r w:rsidR="008C485B" w:rsidRPr="0058008E">
        <w:rPr>
          <w:rFonts w:ascii="Times New Roman" w:hAnsi="Times New Roman"/>
          <w:b w:val="0"/>
          <w:i w:val="0"/>
          <w:sz w:val="24"/>
        </w:rPr>
        <w:t>s</w:t>
      </w:r>
      <w:r w:rsidR="001D3025" w:rsidRPr="0058008E">
        <w:rPr>
          <w:rFonts w:ascii="Times New Roman" w:hAnsi="Times New Roman"/>
          <w:b w:val="0"/>
          <w:i w:val="0"/>
          <w:sz w:val="24"/>
        </w:rPr>
        <w:t xml:space="preserve">ystematycznie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odwiedzane przez turystów, </w:t>
      </w:r>
      <w:r w:rsidR="00036EF1" w:rsidRPr="0058008E">
        <w:rPr>
          <w:rFonts w:ascii="Times New Roman" w:hAnsi="Times New Roman"/>
          <w:b w:val="0"/>
          <w:i w:val="0"/>
          <w:sz w:val="24"/>
        </w:rPr>
        <w:t>gdyż</w:t>
      </w:r>
      <w:r w:rsidR="00AF1AAF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8A6FD8" w:rsidRPr="0058008E">
        <w:rPr>
          <w:rFonts w:ascii="Times New Roman" w:hAnsi="Times New Roman"/>
          <w:b w:val="0"/>
          <w:i w:val="0"/>
          <w:sz w:val="24"/>
        </w:rPr>
        <w:t xml:space="preserve">to </w:t>
      </w:r>
      <w:r w:rsidR="00036EF1" w:rsidRPr="0058008E">
        <w:rPr>
          <w:rFonts w:ascii="Times New Roman" w:hAnsi="Times New Roman"/>
          <w:b w:val="0"/>
          <w:i w:val="0"/>
          <w:sz w:val="24"/>
        </w:rPr>
        <w:t xml:space="preserve">oni </w:t>
      </w:r>
      <w:r w:rsidR="00AF1AAF" w:rsidRPr="0058008E">
        <w:rPr>
          <w:rFonts w:ascii="Times New Roman" w:hAnsi="Times New Roman"/>
          <w:b w:val="0"/>
          <w:i w:val="0"/>
          <w:sz w:val="24"/>
        </w:rPr>
        <w:t>ponoszą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ciężar tej opłaty. </w:t>
      </w:r>
    </w:p>
    <w:p w14:paraId="7A8C2F50" w14:textId="77777777" w:rsidR="0073460D" w:rsidRPr="0058008E" w:rsidRDefault="0073460D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6F0007A5" w14:textId="284080CA" w:rsidR="006C0285" w:rsidRPr="0058008E" w:rsidRDefault="00B75561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Na poziomie </w:t>
      </w:r>
      <w:r w:rsidR="007252D6" w:rsidRPr="0058008E">
        <w:rPr>
          <w:rFonts w:ascii="Times New Roman" w:hAnsi="Times New Roman"/>
          <w:b w:val="0"/>
          <w:i w:val="0"/>
          <w:sz w:val="24"/>
        </w:rPr>
        <w:t>3,</w:t>
      </w:r>
      <w:r w:rsidR="00F123FB">
        <w:rPr>
          <w:rFonts w:ascii="Times New Roman" w:hAnsi="Times New Roman"/>
          <w:b w:val="0"/>
          <w:i w:val="0"/>
          <w:sz w:val="24"/>
        </w:rPr>
        <w:t>0</w:t>
      </w:r>
      <w:r w:rsidR="00DE5C8A" w:rsidRPr="0058008E">
        <w:rPr>
          <w:rFonts w:ascii="Times New Roman" w:hAnsi="Times New Roman"/>
          <w:b w:val="0"/>
          <w:i w:val="0"/>
          <w:sz w:val="24"/>
        </w:rPr>
        <w:t>1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% w strukturze dochodów miasta z tytułu podatków i opłat lokalnych ukształtowały się dochody z tytułu </w:t>
      </w:r>
      <w:r w:rsidR="006C0285" w:rsidRPr="0058008E">
        <w:rPr>
          <w:rFonts w:ascii="Times New Roman" w:hAnsi="Times New Roman"/>
          <w:i w:val="0"/>
          <w:sz w:val="24"/>
        </w:rPr>
        <w:t>opłaty za zezwolenia na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i w:val="0"/>
          <w:sz w:val="24"/>
        </w:rPr>
        <w:t>sprzedaż alkoholu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. Dochód z tej daniny wyniósł </w:t>
      </w:r>
      <w:r w:rsidR="00FC7A82" w:rsidRPr="0058008E">
        <w:rPr>
          <w:rFonts w:ascii="Times New Roman" w:hAnsi="Times New Roman"/>
          <w:b w:val="0"/>
          <w:i w:val="0"/>
          <w:sz w:val="24"/>
        </w:rPr>
        <w:t>3</w:t>
      </w:r>
      <w:r w:rsidR="009F27E5" w:rsidRPr="0058008E">
        <w:rPr>
          <w:rFonts w:ascii="Times New Roman" w:hAnsi="Times New Roman"/>
          <w:b w:val="0"/>
          <w:i w:val="0"/>
          <w:sz w:val="24"/>
        </w:rPr>
        <w:t>,</w:t>
      </w:r>
      <w:r w:rsidR="00DE5C8A" w:rsidRPr="0058008E">
        <w:rPr>
          <w:rFonts w:ascii="Times New Roman" w:hAnsi="Times New Roman"/>
          <w:b w:val="0"/>
          <w:i w:val="0"/>
          <w:sz w:val="24"/>
        </w:rPr>
        <w:t>2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. Dochody uzyskane z tego tytułu, zgodnie z obowiązującymi przepisami prawa, muszą zostać przeznaczone na wydatki związane z przeciwdziałaniem </w:t>
      </w:r>
      <w:r w:rsidR="00AF1AAF" w:rsidRPr="0058008E">
        <w:rPr>
          <w:rFonts w:ascii="Times New Roman" w:hAnsi="Times New Roman"/>
          <w:b w:val="0"/>
          <w:i w:val="0"/>
          <w:sz w:val="24"/>
        </w:rPr>
        <w:t>uzależnieniom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. </w:t>
      </w:r>
    </w:p>
    <w:p w14:paraId="6F32413F" w14:textId="77777777" w:rsidR="00993DF1" w:rsidRPr="0058008E" w:rsidRDefault="00993DF1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75FDF4E9" w14:textId="321C298D" w:rsidR="006C0285" w:rsidRPr="0058008E" w:rsidRDefault="00504A6E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W</w:t>
      </w:r>
      <w:r w:rsidR="006C0285" w:rsidRPr="0058008E">
        <w:rPr>
          <w:rFonts w:ascii="Times New Roman" w:hAnsi="Times New Roman"/>
          <w:b w:val="0"/>
          <w:i w:val="0"/>
          <w:sz w:val="24"/>
        </w:rPr>
        <w:t>pływy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z tytułu </w:t>
      </w:r>
      <w:r w:rsidR="006C0285" w:rsidRPr="0058008E">
        <w:rPr>
          <w:rFonts w:ascii="Times New Roman" w:hAnsi="Times New Roman"/>
          <w:i w:val="0"/>
          <w:sz w:val="24"/>
        </w:rPr>
        <w:t xml:space="preserve">podatku od spadków i darowizn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uzyskane </w:t>
      </w:r>
      <w:r w:rsidR="009F27E5" w:rsidRPr="0058008E">
        <w:rPr>
          <w:rFonts w:ascii="Times New Roman" w:hAnsi="Times New Roman"/>
          <w:b w:val="0"/>
          <w:i w:val="0"/>
          <w:sz w:val="24"/>
        </w:rPr>
        <w:t>zostały w</w:t>
      </w:r>
      <w:r w:rsidRPr="0058008E">
        <w:rPr>
          <w:rFonts w:ascii="Times New Roman" w:hAnsi="Times New Roman"/>
          <w:b w:val="0"/>
          <w:i w:val="0"/>
          <w:sz w:val="24"/>
        </w:rPr>
        <w:t xml:space="preserve"> wysokości </w:t>
      </w:r>
      <w:r w:rsidR="00DE5C8A" w:rsidRPr="0058008E">
        <w:rPr>
          <w:rFonts w:ascii="Times New Roman" w:hAnsi="Times New Roman"/>
          <w:b w:val="0"/>
          <w:i w:val="0"/>
          <w:sz w:val="24"/>
        </w:rPr>
        <w:t>8</w:t>
      </w:r>
      <w:r w:rsidR="00FB4C6E" w:rsidRPr="0058008E">
        <w:rPr>
          <w:rFonts w:ascii="Times New Roman" w:hAnsi="Times New Roman"/>
          <w:b w:val="0"/>
          <w:i w:val="0"/>
          <w:sz w:val="24"/>
        </w:rPr>
        <w:t>,</w:t>
      </w:r>
      <w:r w:rsidR="00FC7A82" w:rsidRPr="0058008E">
        <w:rPr>
          <w:rFonts w:ascii="Times New Roman" w:hAnsi="Times New Roman"/>
          <w:b w:val="0"/>
          <w:i w:val="0"/>
          <w:sz w:val="24"/>
        </w:rPr>
        <w:t>7</w:t>
      </w:r>
      <w:r w:rsidR="00A977CC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B7556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DE5C8A" w:rsidRPr="0058008E">
        <w:rPr>
          <w:rFonts w:ascii="Times New Roman" w:hAnsi="Times New Roman"/>
          <w:b w:val="0"/>
          <w:i w:val="0"/>
          <w:sz w:val="24"/>
        </w:rPr>
        <w:br/>
      </w:r>
      <w:r w:rsidR="00741862" w:rsidRPr="0058008E">
        <w:rPr>
          <w:rFonts w:ascii="Times New Roman" w:hAnsi="Times New Roman"/>
          <w:b w:val="0"/>
          <w:i w:val="0"/>
          <w:sz w:val="24"/>
        </w:rPr>
        <w:t>i były</w:t>
      </w:r>
      <w:r w:rsidR="000D336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C7A82" w:rsidRPr="0058008E">
        <w:rPr>
          <w:rFonts w:ascii="Times New Roman" w:hAnsi="Times New Roman"/>
          <w:b w:val="0"/>
          <w:i w:val="0"/>
          <w:sz w:val="24"/>
        </w:rPr>
        <w:t>wyższe</w:t>
      </w:r>
      <w:r w:rsidR="009F27E5" w:rsidRPr="0058008E">
        <w:rPr>
          <w:rFonts w:ascii="Times New Roman" w:hAnsi="Times New Roman"/>
          <w:b w:val="0"/>
          <w:i w:val="0"/>
          <w:sz w:val="24"/>
        </w:rPr>
        <w:t xml:space="preserve"> niż w poprzednim roku o </w:t>
      </w:r>
      <w:r w:rsidR="00DE5C8A" w:rsidRPr="0058008E">
        <w:rPr>
          <w:rFonts w:ascii="Times New Roman" w:hAnsi="Times New Roman"/>
          <w:b w:val="0"/>
          <w:i w:val="0"/>
          <w:sz w:val="24"/>
        </w:rPr>
        <w:t>3</w:t>
      </w:r>
      <w:r w:rsidR="009F27E5" w:rsidRPr="0058008E">
        <w:rPr>
          <w:rFonts w:ascii="Times New Roman" w:hAnsi="Times New Roman"/>
          <w:b w:val="0"/>
          <w:i w:val="0"/>
          <w:sz w:val="24"/>
        </w:rPr>
        <w:t xml:space="preserve"> mln. 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Podobnie jak podatek od czynności cywilno-prawnych </w:t>
      </w:r>
      <w:r w:rsidR="00AF1AAF" w:rsidRPr="0058008E">
        <w:rPr>
          <w:rFonts w:ascii="Times New Roman" w:hAnsi="Times New Roman"/>
          <w:b w:val="0"/>
          <w:i w:val="0"/>
          <w:sz w:val="24"/>
        </w:rPr>
        <w:t xml:space="preserve">podatek ten </w:t>
      </w:r>
      <w:r w:rsidR="006C0285" w:rsidRPr="0058008E">
        <w:rPr>
          <w:rFonts w:ascii="Times New Roman" w:hAnsi="Times New Roman"/>
          <w:b w:val="0"/>
          <w:i w:val="0"/>
          <w:sz w:val="24"/>
        </w:rPr>
        <w:t>jest</w:t>
      </w:r>
      <w:r w:rsidR="00AF1AAF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C0285" w:rsidRPr="0058008E">
        <w:rPr>
          <w:rFonts w:ascii="Times New Roman" w:hAnsi="Times New Roman"/>
          <w:b w:val="0"/>
          <w:i w:val="0"/>
          <w:sz w:val="24"/>
        </w:rPr>
        <w:t>pobierany przez urząd skarbowy i prz</w:t>
      </w:r>
      <w:r w:rsidR="002808A5" w:rsidRPr="0058008E">
        <w:rPr>
          <w:rFonts w:ascii="Times New Roman" w:hAnsi="Times New Roman"/>
          <w:b w:val="0"/>
          <w:i w:val="0"/>
          <w:sz w:val="24"/>
        </w:rPr>
        <w:t>ekazywany do budżetu miasta. D</w:t>
      </w:r>
      <w:r w:rsidR="006C0285" w:rsidRPr="0058008E">
        <w:rPr>
          <w:rFonts w:ascii="Times New Roman" w:hAnsi="Times New Roman"/>
          <w:b w:val="0"/>
          <w:i w:val="0"/>
          <w:sz w:val="24"/>
        </w:rPr>
        <w:t>ochód z teg</w:t>
      </w:r>
      <w:r w:rsidR="002808A5" w:rsidRPr="0058008E">
        <w:rPr>
          <w:rFonts w:ascii="Times New Roman" w:hAnsi="Times New Roman"/>
          <w:b w:val="0"/>
          <w:i w:val="0"/>
          <w:sz w:val="24"/>
        </w:rPr>
        <w:t xml:space="preserve">o </w:t>
      </w:r>
      <w:r w:rsidR="00AF1AAF" w:rsidRPr="0058008E">
        <w:rPr>
          <w:rFonts w:ascii="Times New Roman" w:hAnsi="Times New Roman"/>
          <w:b w:val="0"/>
          <w:i w:val="0"/>
          <w:sz w:val="24"/>
        </w:rPr>
        <w:t>źródła</w:t>
      </w:r>
      <w:r w:rsidR="005A42E4" w:rsidRPr="0058008E">
        <w:rPr>
          <w:rFonts w:ascii="Times New Roman" w:hAnsi="Times New Roman"/>
          <w:b w:val="0"/>
          <w:i w:val="0"/>
          <w:sz w:val="24"/>
        </w:rPr>
        <w:t xml:space="preserve"> w strukturze </w:t>
      </w:r>
      <w:r w:rsidR="00E25C72" w:rsidRPr="0058008E">
        <w:rPr>
          <w:rFonts w:ascii="Times New Roman" w:hAnsi="Times New Roman"/>
          <w:b w:val="0"/>
          <w:i w:val="0"/>
          <w:sz w:val="24"/>
        </w:rPr>
        <w:t xml:space="preserve">wyniósł </w:t>
      </w:r>
      <w:r w:rsidR="00F123FB">
        <w:rPr>
          <w:rFonts w:ascii="Times New Roman" w:hAnsi="Times New Roman"/>
          <w:b w:val="0"/>
          <w:i w:val="0"/>
          <w:sz w:val="24"/>
        </w:rPr>
        <w:t>8,26</w:t>
      </w:r>
      <w:r w:rsidR="006C0285" w:rsidRPr="0058008E">
        <w:rPr>
          <w:rFonts w:ascii="Times New Roman" w:hAnsi="Times New Roman"/>
          <w:b w:val="0"/>
          <w:i w:val="0"/>
          <w:sz w:val="24"/>
        </w:rPr>
        <w:t xml:space="preserve"> %.</w:t>
      </w:r>
    </w:p>
    <w:p w14:paraId="2AA9858F" w14:textId="77777777" w:rsidR="00D442D2" w:rsidRPr="0058008E" w:rsidRDefault="00D442D2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44757C9E" w14:textId="24244528" w:rsidR="006C0285" w:rsidRPr="0058008E" w:rsidRDefault="006C0285" w:rsidP="006C0285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Duże znaczenie dla dochodów budżetu miasta miały także inne opłaty takie jak: komunikacyjna czy skarbowa</w:t>
      </w:r>
      <w:r w:rsidR="00EA14CE" w:rsidRPr="0058008E">
        <w:rPr>
          <w:rFonts w:ascii="Times New Roman" w:hAnsi="Times New Roman"/>
          <w:b w:val="0"/>
          <w:i w:val="0"/>
          <w:sz w:val="24"/>
        </w:rPr>
        <w:t>,</w:t>
      </w:r>
      <w:r w:rsidRPr="0058008E">
        <w:rPr>
          <w:rFonts w:ascii="Times New Roman" w:hAnsi="Times New Roman"/>
          <w:b w:val="0"/>
          <w:i w:val="0"/>
          <w:sz w:val="24"/>
        </w:rPr>
        <w:t xml:space="preserve"> które w strukturze dochodów z podatków i opłat za</w:t>
      </w:r>
      <w:r w:rsidR="00662FA3" w:rsidRPr="0058008E">
        <w:rPr>
          <w:rFonts w:ascii="Times New Roman" w:hAnsi="Times New Roman"/>
          <w:b w:val="0"/>
          <w:i w:val="0"/>
          <w:sz w:val="24"/>
        </w:rPr>
        <w:t xml:space="preserve">jmowały od </w:t>
      </w:r>
      <w:r w:rsidR="0009357E" w:rsidRPr="0058008E">
        <w:rPr>
          <w:rFonts w:ascii="Times New Roman" w:hAnsi="Times New Roman"/>
          <w:b w:val="0"/>
          <w:i w:val="0"/>
          <w:sz w:val="24"/>
        </w:rPr>
        <w:t>0</w:t>
      </w:r>
      <w:r w:rsidR="00662FA3" w:rsidRPr="0058008E">
        <w:rPr>
          <w:rFonts w:ascii="Times New Roman" w:hAnsi="Times New Roman"/>
          <w:b w:val="0"/>
          <w:i w:val="0"/>
          <w:sz w:val="24"/>
        </w:rPr>
        <w:t>,</w:t>
      </w:r>
      <w:r w:rsidR="00E81F0A" w:rsidRPr="0058008E">
        <w:rPr>
          <w:rFonts w:ascii="Times New Roman" w:hAnsi="Times New Roman"/>
          <w:b w:val="0"/>
          <w:i w:val="0"/>
          <w:sz w:val="24"/>
        </w:rPr>
        <w:t>5</w:t>
      </w:r>
      <w:r w:rsidR="00B723EB" w:rsidRPr="0058008E">
        <w:rPr>
          <w:rFonts w:ascii="Times New Roman" w:hAnsi="Times New Roman"/>
          <w:b w:val="0"/>
          <w:i w:val="0"/>
          <w:sz w:val="24"/>
        </w:rPr>
        <w:t>%</w:t>
      </w:r>
      <w:r w:rsidR="00D442D2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AF1AAF" w:rsidRPr="0058008E">
        <w:rPr>
          <w:rFonts w:ascii="Times New Roman" w:hAnsi="Times New Roman"/>
          <w:b w:val="0"/>
          <w:i w:val="0"/>
          <w:sz w:val="24"/>
        </w:rPr>
        <w:t>do</w:t>
      </w:r>
      <w:r w:rsidR="00662FA3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09357E" w:rsidRPr="0058008E">
        <w:rPr>
          <w:rFonts w:ascii="Times New Roman" w:hAnsi="Times New Roman"/>
          <w:b w:val="0"/>
          <w:i w:val="0"/>
          <w:sz w:val="24"/>
        </w:rPr>
        <w:t>0</w:t>
      </w:r>
      <w:r w:rsidR="00662FA3" w:rsidRPr="0058008E">
        <w:rPr>
          <w:rFonts w:ascii="Times New Roman" w:hAnsi="Times New Roman"/>
          <w:b w:val="0"/>
          <w:i w:val="0"/>
          <w:sz w:val="24"/>
        </w:rPr>
        <w:t>,</w:t>
      </w:r>
      <w:r w:rsidR="006F70D4" w:rsidRPr="0058008E">
        <w:rPr>
          <w:rFonts w:ascii="Times New Roman" w:hAnsi="Times New Roman"/>
          <w:b w:val="0"/>
          <w:i w:val="0"/>
          <w:sz w:val="24"/>
        </w:rPr>
        <w:t>7</w:t>
      </w:r>
      <w:r w:rsidRPr="0058008E">
        <w:rPr>
          <w:rFonts w:ascii="Times New Roman" w:hAnsi="Times New Roman"/>
          <w:b w:val="0"/>
          <w:i w:val="0"/>
          <w:sz w:val="24"/>
        </w:rPr>
        <w:t xml:space="preserve"> %. Pozostałe </w:t>
      </w:r>
      <w:r w:rsidRPr="0058008E">
        <w:rPr>
          <w:rFonts w:ascii="Times New Roman" w:hAnsi="Times New Roman"/>
          <w:b w:val="0"/>
          <w:i w:val="0"/>
          <w:sz w:val="24"/>
        </w:rPr>
        <w:lastRenderedPageBreak/>
        <w:t xml:space="preserve">podatki i opłaty lokalne miały dla budżetu </w:t>
      </w:r>
      <w:r w:rsidR="00DD4154" w:rsidRPr="0058008E">
        <w:rPr>
          <w:rFonts w:ascii="Times New Roman" w:hAnsi="Times New Roman"/>
          <w:b w:val="0"/>
          <w:i w:val="0"/>
          <w:sz w:val="24"/>
        </w:rPr>
        <w:t>mniejsze</w:t>
      </w:r>
      <w:r w:rsidRPr="0058008E">
        <w:rPr>
          <w:rFonts w:ascii="Times New Roman" w:hAnsi="Times New Roman"/>
          <w:b w:val="0"/>
          <w:i w:val="0"/>
          <w:sz w:val="24"/>
        </w:rPr>
        <w:t xml:space="preserve"> znaczenie, a ich wysokość w strukturze omaw</w:t>
      </w:r>
      <w:r w:rsidR="00D442D2" w:rsidRPr="0058008E">
        <w:rPr>
          <w:rFonts w:ascii="Times New Roman" w:hAnsi="Times New Roman"/>
          <w:b w:val="0"/>
          <w:i w:val="0"/>
          <w:sz w:val="24"/>
        </w:rPr>
        <w:t>ianych dochodów wynosiła od 0,</w:t>
      </w:r>
      <w:r w:rsidRPr="0058008E">
        <w:rPr>
          <w:rFonts w:ascii="Times New Roman" w:hAnsi="Times New Roman"/>
          <w:b w:val="0"/>
          <w:i w:val="0"/>
          <w:sz w:val="24"/>
        </w:rPr>
        <w:t>1</w:t>
      </w:r>
      <w:r w:rsidR="00B723EB" w:rsidRPr="0058008E">
        <w:rPr>
          <w:rFonts w:ascii="Times New Roman" w:hAnsi="Times New Roman"/>
          <w:b w:val="0"/>
          <w:i w:val="0"/>
          <w:sz w:val="24"/>
        </w:rPr>
        <w:t xml:space="preserve">% </w:t>
      </w:r>
      <w:r w:rsidR="00AF1AAF" w:rsidRPr="0058008E">
        <w:rPr>
          <w:rFonts w:ascii="Times New Roman" w:hAnsi="Times New Roman"/>
          <w:b w:val="0"/>
          <w:i w:val="0"/>
          <w:sz w:val="24"/>
        </w:rPr>
        <w:t>do</w:t>
      </w:r>
      <w:r w:rsidRPr="0058008E">
        <w:rPr>
          <w:rFonts w:ascii="Times New Roman" w:hAnsi="Times New Roman"/>
          <w:b w:val="0"/>
          <w:i w:val="0"/>
          <w:sz w:val="24"/>
        </w:rPr>
        <w:t xml:space="preserve"> 0,</w:t>
      </w:r>
      <w:r w:rsidR="009F27E5" w:rsidRPr="0058008E">
        <w:rPr>
          <w:rFonts w:ascii="Times New Roman" w:hAnsi="Times New Roman"/>
          <w:b w:val="0"/>
          <w:i w:val="0"/>
          <w:sz w:val="24"/>
        </w:rPr>
        <w:t>10</w:t>
      </w:r>
      <w:r w:rsidRPr="0058008E">
        <w:rPr>
          <w:rFonts w:ascii="Times New Roman" w:hAnsi="Times New Roman"/>
          <w:b w:val="0"/>
          <w:i w:val="0"/>
          <w:sz w:val="24"/>
        </w:rPr>
        <w:t xml:space="preserve"> %.</w:t>
      </w:r>
    </w:p>
    <w:p w14:paraId="6A3A7FAE" w14:textId="77777777" w:rsidR="001F7DF7" w:rsidRPr="0058008E" w:rsidRDefault="001F7DF7" w:rsidP="00EA441E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b w:val="0"/>
          <w:i w:val="0"/>
          <w:sz w:val="24"/>
        </w:rPr>
      </w:pPr>
    </w:p>
    <w:p w14:paraId="07C40A96" w14:textId="77777777" w:rsidR="00DD4154" w:rsidRPr="0058008E" w:rsidRDefault="00DD4154" w:rsidP="00EA441E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1A3F3B4F" w14:textId="77777777" w:rsidR="008F69B6" w:rsidRPr="0058008E" w:rsidRDefault="00725694" w:rsidP="00EA441E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  <w:szCs w:val="24"/>
        </w:rPr>
      </w:pPr>
      <w:r w:rsidRPr="0058008E">
        <w:rPr>
          <w:rFonts w:ascii="Times New Roman" w:hAnsi="Times New Roman"/>
          <w:i w:val="0"/>
          <w:sz w:val="24"/>
          <w:szCs w:val="24"/>
        </w:rPr>
        <w:t>WYDATKI</w:t>
      </w:r>
    </w:p>
    <w:p w14:paraId="7C211318" w14:textId="77777777" w:rsidR="00443018" w:rsidRPr="0058008E" w:rsidRDefault="00443018" w:rsidP="00EA441E">
      <w:pPr>
        <w:pStyle w:val="Tekstpodstawowy2"/>
        <w:jc w:val="both"/>
        <w:rPr>
          <w:rFonts w:ascii="Times New Roman" w:hAnsi="Times New Roman"/>
          <w:i w:val="0"/>
          <w:color w:val="EE0000"/>
          <w:sz w:val="24"/>
          <w:szCs w:val="24"/>
        </w:rPr>
      </w:pPr>
    </w:p>
    <w:p w14:paraId="79EAD9E5" w14:textId="2B4DFC4D" w:rsidR="00A956E2" w:rsidRPr="0058008E" w:rsidRDefault="004B07A7" w:rsidP="00EA441E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Wykonanie </w:t>
      </w:r>
      <w:r w:rsidRPr="0058008E">
        <w:rPr>
          <w:rFonts w:ascii="Times New Roman" w:hAnsi="Times New Roman"/>
          <w:i w:val="0"/>
          <w:sz w:val="24"/>
          <w:szCs w:val="24"/>
          <w:u w:val="single"/>
        </w:rPr>
        <w:t>wydatków</w:t>
      </w:r>
      <w:r w:rsidRPr="0058008E">
        <w:rPr>
          <w:rFonts w:ascii="Times New Roman" w:hAnsi="Times New Roman"/>
          <w:i w:val="0"/>
          <w:sz w:val="24"/>
          <w:szCs w:val="24"/>
        </w:rPr>
        <w:t xml:space="preserve"> </w:t>
      </w:r>
      <w:r w:rsidR="002D6B5C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 okresie sprawozdawczym wyniosło </w:t>
      </w:r>
      <w:r w:rsidR="007C01D1" w:rsidRPr="0058008E">
        <w:rPr>
          <w:rFonts w:ascii="Times New Roman" w:hAnsi="Times New Roman"/>
          <w:i w:val="0"/>
          <w:sz w:val="24"/>
          <w:szCs w:val="24"/>
        </w:rPr>
        <w:t>5</w:t>
      </w:r>
      <w:r w:rsidR="00AB4E28" w:rsidRPr="0058008E">
        <w:rPr>
          <w:rFonts w:ascii="Times New Roman" w:hAnsi="Times New Roman"/>
          <w:i w:val="0"/>
          <w:sz w:val="24"/>
          <w:szCs w:val="24"/>
        </w:rPr>
        <w:t>53</w:t>
      </w:r>
      <w:r w:rsidR="007C01D1" w:rsidRPr="0058008E">
        <w:rPr>
          <w:rFonts w:ascii="Times New Roman" w:hAnsi="Times New Roman"/>
          <w:i w:val="0"/>
          <w:sz w:val="24"/>
          <w:szCs w:val="24"/>
        </w:rPr>
        <w:t>.</w:t>
      </w:r>
      <w:r w:rsidR="00AB4E28" w:rsidRPr="0058008E">
        <w:rPr>
          <w:rFonts w:ascii="Times New Roman" w:hAnsi="Times New Roman"/>
          <w:i w:val="0"/>
          <w:sz w:val="24"/>
          <w:szCs w:val="24"/>
        </w:rPr>
        <w:t>225</w:t>
      </w:r>
      <w:r w:rsidR="007C01D1" w:rsidRPr="0058008E">
        <w:rPr>
          <w:rFonts w:ascii="Times New Roman" w:hAnsi="Times New Roman"/>
          <w:i w:val="0"/>
          <w:sz w:val="24"/>
          <w:szCs w:val="24"/>
        </w:rPr>
        <w:t>.</w:t>
      </w:r>
      <w:r w:rsidR="00AB4E28" w:rsidRPr="0058008E">
        <w:rPr>
          <w:rFonts w:ascii="Times New Roman" w:hAnsi="Times New Roman"/>
          <w:i w:val="0"/>
          <w:sz w:val="24"/>
          <w:szCs w:val="24"/>
        </w:rPr>
        <w:t>800</w:t>
      </w:r>
      <w:r w:rsidR="00494712" w:rsidRPr="0058008E">
        <w:rPr>
          <w:rFonts w:ascii="Times New Roman" w:hAnsi="Times New Roman"/>
          <w:i w:val="0"/>
          <w:sz w:val="24"/>
          <w:szCs w:val="24"/>
        </w:rPr>
        <w:t xml:space="preserve"> zł</w:t>
      </w:r>
      <w:r w:rsidR="00152EF7" w:rsidRPr="0058008E">
        <w:rPr>
          <w:rFonts w:ascii="Times New Roman" w:hAnsi="Times New Roman"/>
          <w:b w:val="0"/>
          <w:i w:val="0"/>
          <w:sz w:val="24"/>
          <w:szCs w:val="24"/>
        </w:rPr>
        <w:t>, co stanowi</w:t>
      </w:r>
      <w:r w:rsidR="002C4B45" w:rsidRPr="0058008E">
        <w:rPr>
          <w:rFonts w:ascii="Times New Roman" w:hAnsi="Times New Roman"/>
          <w:b w:val="0"/>
          <w:i w:val="0"/>
          <w:sz w:val="24"/>
          <w:szCs w:val="24"/>
        </w:rPr>
        <w:t>ło</w:t>
      </w:r>
      <w:r w:rsidR="0015263A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B4E28" w:rsidRPr="0058008E">
        <w:rPr>
          <w:rFonts w:ascii="Times New Roman" w:hAnsi="Times New Roman"/>
          <w:b w:val="0"/>
          <w:i w:val="0"/>
          <w:sz w:val="24"/>
          <w:szCs w:val="24"/>
        </w:rPr>
        <w:t>89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AB4E28" w:rsidRPr="0058008E">
        <w:rPr>
          <w:rFonts w:ascii="Times New Roman" w:hAnsi="Times New Roman"/>
          <w:b w:val="0"/>
          <w:i w:val="0"/>
          <w:sz w:val="24"/>
          <w:szCs w:val="24"/>
        </w:rPr>
        <w:t>80</w:t>
      </w:r>
      <w:r w:rsidR="00AF072B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%</w:t>
      </w:r>
      <w:r w:rsidR="00AF072B" w:rsidRPr="0058008E">
        <w:rPr>
          <w:rStyle w:val="Odwoanieprzypisudolnego"/>
          <w:rFonts w:ascii="Times New Roman" w:hAnsi="Times New Roman"/>
          <w:b w:val="0"/>
          <w:i w:val="0"/>
          <w:sz w:val="24"/>
          <w:szCs w:val="24"/>
        </w:rPr>
        <w:footnoteReference w:id="15"/>
      </w:r>
      <w:r w:rsidR="00066796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p</w:t>
      </w:r>
      <w:r w:rsidR="00A41CEB" w:rsidRPr="0058008E">
        <w:rPr>
          <w:rFonts w:ascii="Times New Roman" w:hAnsi="Times New Roman"/>
          <w:b w:val="0"/>
          <w:i w:val="0"/>
          <w:sz w:val="24"/>
          <w:szCs w:val="24"/>
        </w:rPr>
        <w:t>rzyję</w:t>
      </w:r>
      <w:r w:rsidR="00066796" w:rsidRPr="0058008E">
        <w:rPr>
          <w:rFonts w:ascii="Times New Roman" w:hAnsi="Times New Roman"/>
          <w:b w:val="0"/>
          <w:i w:val="0"/>
          <w:sz w:val="24"/>
          <w:szCs w:val="24"/>
        </w:rPr>
        <w:t>tego</w:t>
      </w:r>
      <w:r w:rsidR="00A41CEB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plan</w:t>
      </w:r>
      <w:r w:rsidR="00CF101B" w:rsidRPr="0058008E">
        <w:rPr>
          <w:rFonts w:ascii="Times New Roman" w:hAnsi="Times New Roman"/>
          <w:b w:val="0"/>
          <w:i w:val="0"/>
          <w:sz w:val="24"/>
          <w:szCs w:val="24"/>
        </w:rPr>
        <w:t>u</w:t>
      </w:r>
      <w:r w:rsidR="00A41CEB"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066796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52EF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77804" w:rsidRPr="0058008E">
        <w:rPr>
          <w:rFonts w:ascii="Times New Roman" w:hAnsi="Times New Roman"/>
          <w:b w:val="0"/>
          <w:i w:val="0"/>
          <w:sz w:val="24"/>
          <w:szCs w:val="24"/>
        </w:rPr>
        <w:t>W</w:t>
      </w:r>
      <w:r w:rsidR="00364957" w:rsidRPr="0058008E">
        <w:rPr>
          <w:rFonts w:ascii="Times New Roman" w:hAnsi="Times New Roman"/>
          <w:b w:val="0"/>
          <w:i w:val="0"/>
          <w:sz w:val="24"/>
          <w:szCs w:val="24"/>
        </w:rPr>
        <w:t>ydatk</w:t>
      </w:r>
      <w:r w:rsidR="00E77804" w:rsidRPr="0058008E">
        <w:rPr>
          <w:rFonts w:ascii="Times New Roman" w:hAnsi="Times New Roman"/>
          <w:b w:val="0"/>
          <w:i w:val="0"/>
          <w:sz w:val="24"/>
          <w:szCs w:val="24"/>
        </w:rPr>
        <w:t>i</w:t>
      </w:r>
      <w:r w:rsidR="0036495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364957" w:rsidRPr="0058008E">
        <w:rPr>
          <w:rFonts w:ascii="Times New Roman" w:hAnsi="Times New Roman"/>
          <w:bCs/>
          <w:i w:val="0"/>
          <w:sz w:val="24"/>
          <w:szCs w:val="24"/>
        </w:rPr>
        <w:t>bieżąc</w:t>
      </w:r>
      <w:r w:rsidR="00E77804" w:rsidRPr="0058008E">
        <w:rPr>
          <w:rFonts w:ascii="Times New Roman" w:hAnsi="Times New Roman"/>
          <w:bCs/>
          <w:i w:val="0"/>
          <w:sz w:val="24"/>
          <w:szCs w:val="24"/>
        </w:rPr>
        <w:t>e</w:t>
      </w:r>
      <w:r w:rsidR="00364957" w:rsidRPr="0058008E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="00AB4E2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wyniosły 496.531.896 zł i </w:t>
      </w:r>
      <w:r w:rsidR="00100B47" w:rsidRPr="0058008E">
        <w:rPr>
          <w:rFonts w:ascii="Times New Roman" w:hAnsi="Times New Roman"/>
          <w:b w:val="0"/>
          <w:i w:val="0"/>
          <w:sz w:val="24"/>
          <w:szCs w:val="24"/>
        </w:rPr>
        <w:t>zrealizowane zostały w 92</w:t>
      </w:r>
      <w:r w:rsidR="00FB3004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100B47" w:rsidRPr="0058008E">
        <w:rPr>
          <w:rFonts w:ascii="Times New Roman" w:hAnsi="Times New Roman"/>
          <w:b w:val="0"/>
          <w:i w:val="0"/>
          <w:sz w:val="24"/>
          <w:szCs w:val="24"/>
        </w:rPr>
        <w:t>66</w:t>
      </w:r>
      <w:r w:rsidR="00DC3349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8A7D89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E01AD" w:rsidRPr="0058008E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EE014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 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r</w:t>
      </w:r>
      <w:r w:rsidR="00EE0141" w:rsidRPr="0058008E">
        <w:rPr>
          <w:rFonts w:ascii="Times New Roman" w:hAnsi="Times New Roman"/>
          <w:b w:val="0"/>
          <w:i w:val="0"/>
          <w:sz w:val="24"/>
          <w:szCs w:val="24"/>
        </w:rPr>
        <w:t>oku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2023 </w:t>
      </w:r>
      <w:r w:rsidR="00EE014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="004120A9" w:rsidRPr="0058008E">
        <w:rPr>
          <w:rFonts w:ascii="Times New Roman" w:hAnsi="Times New Roman"/>
          <w:b w:val="0"/>
          <w:i w:val="0"/>
          <w:sz w:val="24"/>
          <w:szCs w:val="24"/>
        </w:rPr>
        <w:t>9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DC3349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37</w:t>
      </w:r>
      <w:r w:rsidR="00A956E2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9F5CD7" w:rsidRPr="0058008E">
        <w:rPr>
          <w:rFonts w:ascii="Times New Roman" w:hAnsi="Times New Roman"/>
          <w:b w:val="0"/>
          <w:i w:val="0"/>
          <w:sz w:val="24"/>
          <w:szCs w:val="24"/>
        </w:rPr>
        <w:t>, w 202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9F5CD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– 9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9F5CD7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70</w:t>
      </w:r>
      <w:r w:rsidR="009F5CD7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EE0141" w:rsidRPr="0058008E">
        <w:rPr>
          <w:rFonts w:ascii="Times New Roman" w:hAnsi="Times New Roman"/>
          <w:b w:val="0"/>
          <w:i w:val="0"/>
          <w:sz w:val="24"/>
          <w:szCs w:val="24"/>
        </w:rPr>
        <w:t>)</w:t>
      </w:r>
      <w:r w:rsidR="00C47A6A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a w strukturze stanowiły 89,75% (w roku 2023 – 80,24%, 2024– 87,09%).</w:t>
      </w:r>
      <w:r w:rsidR="00C47A6A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N</w:t>
      </w:r>
      <w:r w:rsidR="00364957" w:rsidRPr="0058008E">
        <w:rPr>
          <w:rFonts w:ascii="Times New Roman" w:hAnsi="Times New Roman"/>
          <w:b w:val="0"/>
          <w:i w:val="0"/>
          <w:sz w:val="24"/>
          <w:szCs w:val="24"/>
        </w:rPr>
        <w:t>atomiast udział wydatków</w:t>
      </w:r>
      <w:r w:rsidR="0052068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520685" w:rsidRPr="0058008E">
        <w:rPr>
          <w:rFonts w:ascii="Times New Roman" w:hAnsi="Times New Roman"/>
          <w:bCs/>
          <w:i w:val="0"/>
          <w:sz w:val="24"/>
          <w:szCs w:val="24"/>
        </w:rPr>
        <w:t>majątkow</w:t>
      </w:r>
      <w:r w:rsidR="00A956E2" w:rsidRPr="0058008E">
        <w:rPr>
          <w:rFonts w:ascii="Times New Roman" w:hAnsi="Times New Roman"/>
          <w:bCs/>
          <w:i w:val="0"/>
          <w:sz w:val="24"/>
          <w:szCs w:val="24"/>
        </w:rPr>
        <w:t>ych</w:t>
      </w:r>
      <w:r w:rsidR="00A956E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7730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wyniósł </w:t>
      </w:r>
      <w:r w:rsidR="004120A9" w:rsidRPr="0058008E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4120A9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29</w:t>
      </w:r>
      <w:r w:rsidR="00EE014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% </w:t>
      </w:r>
      <w:r w:rsidR="000412E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(w analogicznym okresie roku ubiegłego </w:t>
      </w:r>
      <w:r w:rsidR="00721DA0" w:rsidRPr="0058008E">
        <w:rPr>
          <w:rFonts w:ascii="Times New Roman" w:hAnsi="Times New Roman"/>
          <w:b w:val="0"/>
          <w:i w:val="0"/>
          <w:sz w:val="24"/>
          <w:szCs w:val="24"/>
        </w:rPr>
        <w:t>–</w:t>
      </w:r>
      <w:r w:rsidR="000412E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5E4815" w:rsidRPr="0058008E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9</w:t>
      </w:r>
      <w:r w:rsidR="005E4815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76</w:t>
      </w:r>
      <w:r w:rsidR="005E481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21DA0" w:rsidRPr="0058008E">
        <w:rPr>
          <w:rFonts w:ascii="Times New Roman" w:hAnsi="Times New Roman"/>
          <w:b w:val="0"/>
          <w:i w:val="0"/>
          <w:sz w:val="24"/>
          <w:szCs w:val="24"/>
        </w:rPr>
        <w:t>%, w roku 2</w:t>
      </w:r>
      <w:r w:rsidR="00090F96" w:rsidRPr="0058008E">
        <w:rPr>
          <w:rFonts w:ascii="Times New Roman" w:hAnsi="Times New Roman"/>
          <w:b w:val="0"/>
          <w:i w:val="0"/>
          <w:sz w:val="24"/>
          <w:szCs w:val="24"/>
        </w:rPr>
        <w:t>02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721DA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90F96" w:rsidRPr="0058008E">
        <w:rPr>
          <w:rFonts w:ascii="Times New Roman" w:hAnsi="Times New Roman"/>
          <w:b w:val="0"/>
          <w:i w:val="0"/>
          <w:sz w:val="24"/>
          <w:szCs w:val="24"/>
        </w:rPr>
        <w:t>–</w:t>
      </w:r>
      <w:r w:rsidR="00721DA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5E4815" w:rsidRPr="0058008E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8</w:t>
      </w:r>
      <w:r w:rsidR="005E4815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92</w:t>
      </w:r>
      <w:r w:rsidR="00090F96" w:rsidRPr="0058008E">
        <w:rPr>
          <w:rFonts w:ascii="Times New Roman" w:hAnsi="Times New Roman"/>
          <w:b w:val="0"/>
          <w:i w:val="0"/>
          <w:sz w:val="24"/>
          <w:szCs w:val="24"/>
        </w:rPr>
        <w:t>%) a</w:t>
      </w:r>
      <w:r w:rsidR="0036495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zrealizowane zostały </w:t>
      </w:r>
      <w:r w:rsidR="000412E7" w:rsidRPr="0058008E">
        <w:rPr>
          <w:rFonts w:ascii="Times New Roman" w:hAnsi="Times New Roman"/>
          <w:b w:val="0"/>
          <w:i w:val="0"/>
          <w:sz w:val="24"/>
          <w:szCs w:val="24"/>
        </w:rPr>
        <w:t>w</w:t>
      </w:r>
      <w:r w:rsidR="0052068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0B47" w:rsidRPr="0058008E">
        <w:rPr>
          <w:rFonts w:ascii="Times New Roman" w:hAnsi="Times New Roman"/>
          <w:b w:val="0"/>
          <w:i w:val="0"/>
          <w:sz w:val="24"/>
          <w:szCs w:val="24"/>
        </w:rPr>
        <w:t>kwocie 56.693.904 zł tj. w 7</w:t>
      </w:r>
      <w:r w:rsidR="00F123FB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100B47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F123FB">
        <w:rPr>
          <w:rFonts w:ascii="Times New Roman" w:hAnsi="Times New Roman"/>
          <w:b w:val="0"/>
          <w:i w:val="0"/>
          <w:sz w:val="24"/>
          <w:szCs w:val="24"/>
        </w:rPr>
        <w:t>71</w:t>
      </w:r>
      <w:r w:rsidR="000412E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% (w roku </w:t>
      </w:r>
      <w:r w:rsidR="00721DA0" w:rsidRPr="0058008E">
        <w:rPr>
          <w:rFonts w:ascii="Times New Roman" w:hAnsi="Times New Roman"/>
          <w:b w:val="0"/>
          <w:i w:val="0"/>
          <w:sz w:val="24"/>
          <w:szCs w:val="24"/>
        </w:rPr>
        <w:t>202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721DA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– 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68</w:t>
      </w:r>
      <w:r w:rsidR="00090F96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55</w:t>
      </w:r>
      <w:r w:rsidR="00721DA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%, w </w:t>
      </w:r>
      <w:r w:rsidR="000412E7" w:rsidRPr="0058008E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980310" w:rsidRPr="0058008E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090F96" w:rsidRPr="0058008E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0412E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 w:rsidR="00FF1BB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 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84</w:t>
      </w:r>
      <w:r w:rsidR="005E4815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E25C72" w:rsidRPr="0058008E">
        <w:rPr>
          <w:rFonts w:ascii="Times New Roman" w:hAnsi="Times New Roman"/>
          <w:b w:val="0"/>
          <w:i w:val="0"/>
          <w:sz w:val="24"/>
          <w:szCs w:val="24"/>
        </w:rPr>
        <w:t>6</w:t>
      </w:r>
      <w:r w:rsidR="006D17A5" w:rsidRPr="0058008E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152EF7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0412E7" w:rsidRPr="0058008E">
        <w:rPr>
          <w:rFonts w:ascii="Times New Roman" w:hAnsi="Times New Roman"/>
          <w:b w:val="0"/>
          <w:i w:val="0"/>
          <w:sz w:val="24"/>
          <w:szCs w:val="24"/>
        </w:rPr>
        <w:t>)</w:t>
      </w:r>
      <w:r w:rsidR="00364957"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14:paraId="41B610E4" w14:textId="77777777" w:rsidR="00C14C4A" w:rsidRPr="0058008E" w:rsidRDefault="00C14C4A" w:rsidP="000F4928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00B2C77C" w14:textId="225115CD" w:rsidR="00251F8C" w:rsidRPr="0058008E" w:rsidRDefault="006D10CE" w:rsidP="004B73CC">
      <w:pPr>
        <w:pStyle w:val="Tekstpodstawowy2"/>
        <w:ind w:left="7088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Rys.</w:t>
      </w:r>
      <w:r w:rsidR="00C427E5" w:rsidRPr="0058008E">
        <w:rPr>
          <w:rFonts w:ascii="Times New Roman" w:hAnsi="Times New Roman"/>
          <w:b w:val="0"/>
          <w:i w:val="0"/>
          <w:sz w:val="24"/>
          <w:szCs w:val="24"/>
        </w:rPr>
        <w:t>6</w:t>
      </w:r>
    </w:p>
    <w:p w14:paraId="504A1925" w14:textId="77777777" w:rsidR="00D014E3" w:rsidRPr="0058008E" w:rsidRDefault="00D014E3" w:rsidP="004B73CC">
      <w:pPr>
        <w:pStyle w:val="Tekstpodstawowy2"/>
        <w:ind w:left="7088"/>
        <w:jc w:val="right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1B6BF962" w14:textId="49B59D7C" w:rsidR="003F76EC" w:rsidRPr="0058008E" w:rsidRDefault="00CE6095" w:rsidP="004168A7">
      <w:pPr>
        <w:pStyle w:val="Tekstpodstawowy2"/>
        <w:tabs>
          <w:tab w:val="center" w:pos="4890"/>
          <w:tab w:val="right" w:pos="9781"/>
        </w:tabs>
        <w:jc w:val="center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  <w:r w:rsidRPr="0058008E">
        <w:rPr>
          <w:rFonts w:ascii="Times New Roman" w:hAnsi="Times New Roman"/>
          <w:noProof/>
          <w:color w:val="EE0000"/>
        </w:rPr>
        <w:drawing>
          <wp:inline distT="0" distB="0" distL="0" distR="0" wp14:anchorId="73C70D12" wp14:editId="59931010">
            <wp:extent cx="5111087" cy="1801505"/>
            <wp:effectExtent l="0" t="0" r="13970" b="8255"/>
            <wp:docPr id="200010283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B3ECB61-354E-F7F6-0451-282B50B45D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9B6CA1E" w14:textId="77777777" w:rsidR="00E77804" w:rsidRPr="0058008E" w:rsidRDefault="00E77804" w:rsidP="00E247D5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184AE2B8" w14:textId="201B2908" w:rsidR="00700C3A" w:rsidRPr="0058008E" w:rsidRDefault="00036EF1" w:rsidP="00E247D5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Kwotowe wykonanie</w:t>
      </w:r>
      <w:r w:rsidR="00251F8C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52EF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wydatków z podziałem na </w:t>
      </w:r>
      <w:r w:rsidR="00152EF7" w:rsidRPr="0058008E">
        <w:rPr>
          <w:rFonts w:ascii="Times New Roman" w:hAnsi="Times New Roman"/>
          <w:sz w:val="24"/>
          <w:szCs w:val="24"/>
        </w:rPr>
        <w:t>wydatki bieżące i majątkowe</w:t>
      </w:r>
      <w:r w:rsidR="00152EF7" w:rsidRPr="0058008E">
        <w:rPr>
          <w:rFonts w:ascii="Times New Roman" w:hAnsi="Times New Roman"/>
          <w:i w:val="0"/>
          <w:sz w:val="24"/>
          <w:szCs w:val="24"/>
        </w:rPr>
        <w:t xml:space="preserve"> </w:t>
      </w:r>
      <w:r w:rsidR="00152EF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przedstawia </w:t>
      </w:r>
      <w:r w:rsidR="00EE01AD" w:rsidRPr="0058008E">
        <w:rPr>
          <w:rFonts w:ascii="Times New Roman" w:hAnsi="Times New Roman"/>
          <w:b w:val="0"/>
          <w:i w:val="0"/>
          <w:sz w:val="24"/>
          <w:szCs w:val="24"/>
        </w:rPr>
        <w:t xml:space="preserve">tabela </w:t>
      </w:r>
      <w:r w:rsidR="00777307" w:rsidRPr="002C7CF2">
        <w:rPr>
          <w:rFonts w:ascii="Times New Roman" w:hAnsi="Times New Roman"/>
          <w:b w:val="0"/>
          <w:i w:val="0"/>
          <w:sz w:val="24"/>
          <w:szCs w:val="24"/>
        </w:rPr>
        <w:t>V</w:t>
      </w:r>
      <w:r w:rsidR="00EE01AD" w:rsidRPr="002C7CF2">
        <w:rPr>
          <w:rFonts w:ascii="Times New Roman" w:hAnsi="Times New Roman"/>
          <w:b w:val="0"/>
          <w:i w:val="0"/>
          <w:sz w:val="24"/>
          <w:szCs w:val="24"/>
        </w:rPr>
        <w:t>I.</w:t>
      </w:r>
    </w:p>
    <w:p w14:paraId="723B979C" w14:textId="77777777" w:rsidR="00975298" w:rsidRPr="0058008E" w:rsidRDefault="00975298" w:rsidP="008D0182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254390C9" w14:textId="0CBAB843" w:rsidR="0029713F" w:rsidRPr="0058008E" w:rsidRDefault="004B07A7" w:rsidP="00EE01AD">
      <w:pPr>
        <w:pStyle w:val="Tekstpodstawowy2"/>
        <w:ind w:left="7797"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Tab.</w:t>
      </w:r>
      <w:r w:rsidR="00EE01AD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77307" w:rsidRPr="0058008E">
        <w:rPr>
          <w:rFonts w:ascii="Times New Roman" w:hAnsi="Times New Roman"/>
          <w:b w:val="0"/>
          <w:i w:val="0"/>
          <w:sz w:val="24"/>
          <w:szCs w:val="24"/>
        </w:rPr>
        <w:t>V</w:t>
      </w:r>
      <w:r w:rsidR="00EE01AD" w:rsidRPr="0058008E">
        <w:rPr>
          <w:rFonts w:ascii="Times New Roman" w:hAnsi="Times New Roman"/>
          <w:b w:val="0"/>
          <w:i w:val="0"/>
          <w:sz w:val="24"/>
          <w:szCs w:val="24"/>
        </w:rPr>
        <w:t>I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842"/>
        <w:gridCol w:w="922"/>
        <w:gridCol w:w="1346"/>
        <w:gridCol w:w="1215"/>
        <w:gridCol w:w="1833"/>
      </w:tblGrid>
      <w:tr w:rsidR="003A056D" w:rsidRPr="0058008E" w14:paraId="1DF0A779" w14:textId="77777777" w:rsidTr="00D95A0F">
        <w:trPr>
          <w:cantSplit/>
        </w:trPr>
        <w:tc>
          <w:tcPr>
            <w:tcW w:w="567" w:type="dxa"/>
            <w:vMerge w:val="restart"/>
            <w:vAlign w:val="center"/>
          </w:tcPr>
          <w:p w14:paraId="2C163993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  <w:p w14:paraId="6BAB8BF9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L.p.</w:t>
            </w:r>
          </w:p>
        </w:tc>
        <w:tc>
          <w:tcPr>
            <w:tcW w:w="1701" w:type="dxa"/>
            <w:vMerge w:val="restart"/>
            <w:vAlign w:val="center"/>
          </w:tcPr>
          <w:p w14:paraId="2F25CBEA" w14:textId="77777777" w:rsidR="004B07A7" w:rsidRPr="0058008E" w:rsidRDefault="004B07A7" w:rsidP="00EA441E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  <w:p w14:paraId="580C9E9B" w14:textId="77777777" w:rsidR="004B07A7" w:rsidRPr="0058008E" w:rsidRDefault="00A237F3" w:rsidP="00EA441E">
            <w:pPr>
              <w:pStyle w:val="Tekstpodstawowy2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Rodzaje w</w:t>
            </w:r>
            <w:r w:rsidR="004B07A7" w:rsidRPr="0058008E">
              <w:rPr>
                <w:rFonts w:ascii="Times New Roman" w:hAnsi="Times New Roman"/>
                <w:i w:val="0"/>
                <w:sz w:val="18"/>
                <w:szCs w:val="18"/>
              </w:rPr>
              <w:t>ydatków</w:t>
            </w:r>
          </w:p>
        </w:tc>
        <w:tc>
          <w:tcPr>
            <w:tcW w:w="2764" w:type="dxa"/>
            <w:gridSpan w:val="2"/>
            <w:vAlign w:val="center"/>
          </w:tcPr>
          <w:p w14:paraId="772D8EE6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Plan wydatków</w:t>
            </w:r>
          </w:p>
          <w:p w14:paraId="29D011A8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po zmianach</w:t>
            </w:r>
          </w:p>
        </w:tc>
        <w:tc>
          <w:tcPr>
            <w:tcW w:w="2561" w:type="dxa"/>
            <w:gridSpan w:val="2"/>
            <w:vAlign w:val="center"/>
          </w:tcPr>
          <w:p w14:paraId="2E421680" w14:textId="77777777" w:rsidR="004B07A7" w:rsidRPr="0058008E" w:rsidRDefault="002D6B5C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Roczne wykonanie</w:t>
            </w:r>
          </w:p>
        </w:tc>
        <w:tc>
          <w:tcPr>
            <w:tcW w:w="1833" w:type="dxa"/>
            <w:tcBorders>
              <w:bottom w:val="nil"/>
            </w:tcBorders>
          </w:tcPr>
          <w:p w14:paraId="3865F661" w14:textId="77777777" w:rsidR="004B07A7" w:rsidRPr="0058008E" w:rsidRDefault="004B07A7" w:rsidP="00EA441E">
            <w:pPr>
              <w:pStyle w:val="Tekstpodstawowy2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  <w:p w14:paraId="3AA9C4D3" w14:textId="77777777" w:rsidR="004B07A7" w:rsidRPr="0058008E" w:rsidRDefault="004B07A7" w:rsidP="00AD35DF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% wykonanie</w:t>
            </w:r>
          </w:p>
        </w:tc>
      </w:tr>
      <w:tr w:rsidR="003A056D" w:rsidRPr="0058008E" w14:paraId="2D6F6B4A" w14:textId="77777777" w:rsidTr="00D95A0F">
        <w:trPr>
          <w:cantSplit/>
        </w:trPr>
        <w:tc>
          <w:tcPr>
            <w:tcW w:w="567" w:type="dxa"/>
            <w:vMerge/>
          </w:tcPr>
          <w:p w14:paraId="3455981C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2B94B21" w14:textId="77777777" w:rsidR="004B07A7" w:rsidRPr="0058008E" w:rsidRDefault="004B07A7" w:rsidP="00EA441E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9840C7A" w14:textId="77777777" w:rsidR="004B07A7" w:rsidRPr="0058008E" w:rsidRDefault="00A237F3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w</w:t>
            </w:r>
            <w:r w:rsidR="004B07A7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zł</w:t>
            </w:r>
          </w:p>
        </w:tc>
        <w:tc>
          <w:tcPr>
            <w:tcW w:w="922" w:type="dxa"/>
            <w:vAlign w:val="center"/>
          </w:tcPr>
          <w:p w14:paraId="49DF75D8" w14:textId="77777777" w:rsidR="004B07A7" w:rsidRPr="0058008E" w:rsidRDefault="004B07A7" w:rsidP="00A237F3">
            <w:pPr>
              <w:pStyle w:val="Tekstpodstawowy2"/>
              <w:ind w:right="-70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% strukt</w:t>
            </w:r>
            <w:r w:rsidR="00AB0829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ura</w:t>
            </w:r>
          </w:p>
        </w:tc>
        <w:tc>
          <w:tcPr>
            <w:tcW w:w="1346" w:type="dxa"/>
            <w:vAlign w:val="center"/>
          </w:tcPr>
          <w:p w14:paraId="1CB8AAED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w zł</w:t>
            </w:r>
          </w:p>
        </w:tc>
        <w:tc>
          <w:tcPr>
            <w:tcW w:w="1215" w:type="dxa"/>
            <w:vAlign w:val="center"/>
          </w:tcPr>
          <w:p w14:paraId="7381F633" w14:textId="77777777" w:rsidR="004B07A7" w:rsidRPr="0058008E" w:rsidRDefault="004B07A7" w:rsidP="00EA441E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% struktura</w:t>
            </w:r>
          </w:p>
        </w:tc>
        <w:tc>
          <w:tcPr>
            <w:tcW w:w="1833" w:type="dxa"/>
            <w:tcBorders>
              <w:top w:val="nil"/>
            </w:tcBorders>
          </w:tcPr>
          <w:p w14:paraId="5BCEF3E4" w14:textId="77777777" w:rsidR="004B07A7" w:rsidRPr="0058008E" w:rsidRDefault="004B07A7" w:rsidP="00EA441E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</w:tc>
      </w:tr>
      <w:tr w:rsidR="003A056D" w:rsidRPr="0058008E" w14:paraId="18C3C1DC" w14:textId="77777777" w:rsidTr="00D95A0F">
        <w:tc>
          <w:tcPr>
            <w:tcW w:w="567" w:type="dxa"/>
            <w:vAlign w:val="center"/>
          </w:tcPr>
          <w:p w14:paraId="2673BA38" w14:textId="77777777" w:rsidR="004B07A7" w:rsidRPr="0058008E" w:rsidRDefault="004B07A7" w:rsidP="00967975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1.</w:t>
            </w:r>
          </w:p>
        </w:tc>
        <w:tc>
          <w:tcPr>
            <w:tcW w:w="1701" w:type="dxa"/>
            <w:vAlign w:val="center"/>
          </w:tcPr>
          <w:p w14:paraId="40BBC2FF" w14:textId="77777777" w:rsidR="004B07A7" w:rsidRPr="0058008E" w:rsidRDefault="004B07A7" w:rsidP="00967975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2.</w:t>
            </w:r>
          </w:p>
        </w:tc>
        <w:tc>
          <w:tcPr>
            <w:tcW w:w="1842" w:type="dxa"/>
            <w:vAlign w:val="center"/>
          </w:tcPr>
          <w:p w14:paraId="7E348381" w14:textId="77777777" w:rsidR="004B07A7" w:rsidRPr="0058008E" w:rsidRDefault="004B07A7" w:rsidP="00967975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3.</w:t>
            </w:r>
          </w:p>
        </w:tc>
        <w:tc>
          <w:tcPr>
            <w:tcW w:w="922" w:type="dxa"/>
            <w:vAlign w:val="center"/>
          </w:tcPr>
          <w:p w14:paraId="3FA5E805" w14:textId="77777777" w:rsidR="004B07A7" w:rsidRPr="0058008E" w:rsidRDefault="004B07A7" w:rsidP="00967975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4.</w:t>
            </w:r>
          </w:p>
        </w:tc>
        <w:tc>
          <w:tcPr>
            <w:tcW w:w="1346" w:type="dxa"/>
            <w:vAlign w:val="center"/>
          </w:tcPr>
          <w:p w14:paraId="5AC2E0E8" w14:textId="77777777" w:rsidR="004B07A7" w:rsidRPr="0058008E" w:rsidRDefault="004B07A7" w:rsidP="00967975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5.</w:t>
            </w:r>
          </w:p>
        </w:tc>
        <w:tc>
          <w:tcPr>
            <w:tcW w:w="1215" w:type="dxa"/>
            <w:vAlign w:val="center"/>
          </w:tcPr>
          <w:p w14:paraId="013AFD00" w14:textId="77777777" w:rsidR="004B07A7" w:rsidRPr="0058008E" w:rsidRDefault="004B07A7" w:rsidP="00967975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6.</w:t>
            </w:r>
          </w:p>
        </w:tc>
        <w:tc>
          <w:tcPr>
            <w:tcW w:w="1833" w:type="dxa"/>
            <w:vAlign w:val="center"/>
          </w:tcPr>
          <w:p w14:paraId="4F089EDF" w14:textId="77777777" w:rsidR="004B07A7" w:rsidRPr="0058008E" w:rsidRDefault="004B07A7" w:rsidP="00967975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7.</w:t>
            </w:r>
          </w:p>
        </w:tc>
      </w:tr>
      <w:tr w:rsidR="003A056D" w:rsidRPr="0058008E" w14:paraId="25751A99" w14:textId="77777777" w:rsidTr="00D95A0F">
        <w:trPr>
          <w:trHeight w:val="680"/>
        </w:trPr>
        <w:tc>
          <w:tcPr>
            <w:tcW w:w="567" w:type="dxa"/>
          </w:tcPr>
          <w:p w14:paraId="28F0C2A1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  <w:p w14:paraId="37676CAF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I.</w:t>
            </w:r>
          </w:p>
        </w:tc>
        <w:tc>
          <w:tcPr>
            <w:tcW w:w="1701" w:type="dxa"/>
            <w:vAlign w:val="center"/>
          </w:tcPr>
          <w:p w14:paraId="15C15962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  <w:p w14:paraId="358EB5FB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bieżące</w:t>
            </w:r>
          </w:p>
          <w:p w14:paraId="3EE82C8F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C0243A3" w14:textId="35B4428F" w:rsidR="004B07A7" w:rsidRPr="0058008E" w:rsidRDefault="00490C02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  <w:u w:val="single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5</w:t>
            </w:r>
            <w:r w:rsidR="00EE0C6B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35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</w:t>
            </w:r>
            <w:r w:rsidR="00EE0C6B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847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</w:t>
            </w:r>
            <w:r w:rsidR="00EE0C6B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771</w:t>
            </w:r>
          </w:p>
        </w:tc>
        <w:tc>
          <w:tcPr>
            <w:tcW w:w="922" w:type="dxa"/>
            <w:vAlign w:val="center"/>
          </w:tcPr>
          <w:p w14:paraId="2DE9AE51" w14:textId="2777F8D0" w:rsidR="004B07A7" w:rsidRPr="0058008E" w:rsidRDefault="00490C02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8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6</w:t>
            </w: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99</w:t>
            </w:r>
          </w:p>
        </w:tc>
        <w:tc>
          <w:tcPr>
            <w:tcW w:w="1346" w:type="dxa"/>
          </w:tcPr>
          <w:p w14:paraId="78D114B1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  <w:p w14:paraId="0813BE25" w14:textId="295990B6" w:rsidR="004B07A7" w:rsidRPr="0058008E" w:rsidRDefault="00EE0C6B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bCs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bCs/>
                <w:i w:val="0"/>
                <w:sz w:val="18"/>
                <w:szCs w:val="18"/>
              </w:rPr>
              <w:t>496.531.896</w:t>
            </w:r>
          </w:p>
        </w:tc>
        <w:tc>
          <w:tcPr>
            <w:tcW w:w="1215" w:type="dxa"/>
            <w:vAlign w:val="center"/>
          </w:tcPr>
          <w:p w14:paraId="78723E05" w14:textId="7CBDBB9A" w:rsidR="004B07A7" w:rsidRPr="0058008E" w:rsidRDefault="00490C02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8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9</w:t>
            </w: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76</w:t>
            </w:r>
          </w:p>
        </w:tc>
        <w:tc>
          <w:tcPr>
            <w:tcW w:w="1833" w:type="dxa"/>
            <w:vAlign w:val="center"/>
          </w:tcPr>
          <w:p w14:paraId="51C248F1" w14:textId="363806AE" w:rsidR="004B07A7" w:rsidRPr="0058008E" w:rsidRDefault="00490C02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9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66</w:t>
            </w:r>
          </w:p>
        </w:tc>
      </w:tr>
      <w:tr w:rsidR="003A056D" w:rsidRPr="0058008E" w14:paraId="344AEA15" w14:textId="77777777" w:rsidTr="00D95A0F">
        <w:trPr>
          <w:trHeight w:val="559"/>
        </w:trPr>
        <w:tc>
          <w:tcPr>
            <w:tcW w:w="567" w:type="dxa"/>
            <w:vAlign w:val="center"/>
          </w:tcPr>
          <w:p w14:paraId="188A1948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  <w:p w14:paraId="04F88D64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II.</w:t>
            </w:r>
          </w:p>
        </w:tc>
        <w:tc>
          <w:tcPr>
            <w:tcW w:w="1701" w:type="dxa"/>
            <w:vAlign w:val="center"/>
          </w:tcPr>
          <w:p w14:paraId="4E54EB93" w14:textId="77777777" w:rsidR="004B07A7" w:rsidRPr="0058008E" w:rsidRDefault="00CF101B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m</w:t>
            </w:r>
            <w:r w:rsidR="004B07A7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ajątkowe</w:t>
            </w:r>
          </w:p>
        </w:tc>
        <w:tc>
          <w:tcPr>
            <w:tcW w:w="1842" w:type="dxa"/>
            <w:vAlign w:val="center"/>
          </w:tcPr>
          <w:p w14:paraId="2ADE53B9" w14:textId="60A05A1C" w:rsidR="004B07A7" w:rsidRPr="0058008E" w:rsidRDefault="00490C02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8</w:t>
            </w:r>
            <w:r w:rsidR="00EE0C6B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0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</w:t>
            </w:r>
            <w:r w:rsidR="00EE0C6B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183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</w:t>
            </w:r>
            <w:r w:rsidR="00EE0C6B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500</w:t>
            </w:r>
          </w:p>
        </w:tc>
        <w:tc>
          <w:tcPr>
            <w:tcW w:w="922" w:type="dxa"/>
            <w:vAlign w:val="center"/>
          </w:tcPr>
          <w:p w14:paraId="2E3EBA92" w14:textId="322348C7" w:rsidR="004B07A7" w:rsidRPr="0058008E" w:rsidRDefault="00490C02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1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01</w:t>
            </w:r>
          </w:p>
        </w:tc>
        <w:tc>
          <w:tcPr>
            <w:tcW w:w="1346" w:type="dxa"/>
            <w:vAlign w:val="center"/>
          </w:tcPr>
          <w:p w14:paraId="37884F20" w14:textId="77035D30" w:rsidR="004B07A7" w:rsidRPr="0058008E" w:rsidRDefault="00EE0C6B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56.693</w:t>
            </w:r>
            <w:r w:rsidR="00490C02"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.</w:t>
            </w:r>
            <w:r w:rsidRPr="0058008E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904</w:t>
            </w:r>
          </w:p>
        </w:tc>
        <w:tc>
          <w:tcPr>
            <w:tcW w:w="1215" w:type="dxa"/>
            <w:vAlign w:val="center"/>
          </w:tcPr>
          <w:p w14:paraId="03506189" w14:textId="7DCD43C2" w:rsidR="004B07A7" w:rsidRPr="0058008E" w:rsidRDefault="00490C02" w:rsidP="0059011E">
            <w:pPr>
              <w:pStyle w:val="Tekstpodstawowy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1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  <w:r w:rsidRPr="0058008E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  <w:r w:rsidR="00EE0C6B" w:rsidRPr="0058008E">
              <w:rPr>
                <w:rFonts w:ascii="Times New Roman" w:hAnsi="Times New Roman"/>
                <w:b w:val="0"/>
                <w:sz w:val="18"/>
                <w:szCs w:val="18"/>
              </w:rPr>
              <w:t>24</w:t>
            </w:r>
          </w:p>
        </w:tc>
        <w:tc>
          <w:tcPr>
            <w:tcW w:w="1833" w:type="dxa"/>
            <w:vAlign w:val="center"/>
          </w:tcPr>
          <w:p w14:paraId="3DBA6F41" w14:textId="490DD754" w:rsidR="004B07A7" w:rsidRPr="0058008E" w:rsidRDefault="002C7CF2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70,71</w:t>
            </w:r>
          </w:p>
        </w:tc>
      </w:tr>
      <w:tr w:rsidR="004B07A7" w:rsidRPr="0058008E" w14:paraId="330343BA" w14:textId="77777777" w:rsidTr="00D95A0F">
        <w:trPr>
          <w:cantSplit/>
          <w:trHeight w:val="584"/>
        </w:trPr>
        <w:tc>
          <w:tcPr>
            <w:tcW w:w="2268" w:type="dxa"/>
            <w:gridSpan w:val="2"/>
            <w:vAlign w:val="center"/>
          </w:tcPr>
          <w:p w14:paraId="3902ED76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OGÓŁEM</w:t>
            </w:r>
          </w:p>
        </w:tc>
        <w:tc>
          <w:tcPr>
            <w:tcW w:w="1842" w:type="dxa"/>
            <w:vAlign w:val="center"/>
          </w:tcPr>
          <w:p w14:paraId="405CACCC" w14:textId="71A06030" w:rsidR="004B07A7" w:rsidRPr="0058008E" w:rsidRDefault="00EE0C6B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616</w:t>
            </w:r>
            <w:r w:rsidR="00490C02" w:rsidRPr="0058008E">
              <w:rPr>
                <w:rFonts w:ascii="Times New Roman" w:hAnsi="Times New Roman"/>
                <w:i w:val="0"/>
                <w:sz w:val="18"/>
                <w:szCs w:val="18"/>
              </w:rPr>
              <w:t>.</w:t>
            </w: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031</w:t>
            </w:r>
            <w:r w:rsidR="00490C02" w:rsidRPr="0058008E">
              <w:rPr>
                <w:rFonts w:ascii="Times New Roman" w:hAnsi="Times New Roman"/>
                <w:i w:val="0"/>
                <w:sz w:val="18"/>
                <w:szCs w:val="18"/>
              </w:rPr>
              <w:t>.</w:t>
            </w: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271</w:t>
            </w:r>
          </w:p>
        </w:tc>
        <w:tc>
          <w:tcPr>
            <w:tcW w:w="922" w:type="dxa"/>
            <w:vAlign w:val="center"/>
          </w:tcPr>
          <w:p w14:paraId="3E5DDB49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100,0</w:t>
            </w:r>
          </w:p>
        </w:tc>
        <w:tc>
          <w:tcPr>
            <w:tcW w:w="1346" w:type="dxa"/>
            <w:vAlign w:val="center"/>
          </w:tcPr>
          <w:p w14:paraId="31B25CCE" w14:textId="17795FD5" w:rsidR="004B07A7" w:rsidRPr="0058008E" w:rsidRDefault="00EE0C6B" w:rsidP="00A237F3">
            <w:pPr>
              <w:pStyle w:val="Tekstpodstawowy2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bCs/>
                <w:i w:val="0"/>
                <w:sz w:val="18"/>
                <w:szCs w:val="18"/>
              </w:rPr>
              <w:t>553.225.800</w:t>
            </w:r>
          </w:p>
        </w:tc>
        <w:tc>
          <w:tcPr>
            <w:tcW w:w="1215" w:type="dxa"/>
            <w:vAlign w:val="center"/>
          </w:tcPr>
          <w:p w14:paraId="229F2A26" w14:textId="77777777" w:rsidR="004B07A7" w:rsidRPr="0058008E" w:rsidRDefault="004B07A7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8008E">
              <w:rPr>
                <w:rFonts w:ascii="Times New Roman" w:hAnsi="Times New Roman"/>
                <w:i w:val="0"/>
                <w:sz w:val="18"/>
                <w:szCs w:val="18"/>
              </w:rPr>
              <w:t>100,0</w:t>
            </w:r>
          </w:p>
        </w:tc>
        <w:tc>
          <w:tcPr>
            <w:tcW w:w="1833" w:type="dxa"/>
            <w:vAlign w:val="center"/>
          </w:tcPr>
          <w:p w14:paraId="4F20A914" w14:textId="03002A40" w:rsidR="004B07A7" w:rsidRPr="0058008E" w:rsidRDefault="002C7CF2" w:rsidP="00A237F3">
            <w:pPr>
              <w:pStyle w:val="Tekstpodstawowy2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89,80</w:t>
            </w:r>
          </w:p>
        </w:tc>
      </w:tr>
    </w:tbl>
    <w:p w14:paraId="1F49F9C9" w14:textId="77777777" w:rsidR="00A826A9" w:rsidRPr="0058008E" w:rsidRDefault="00A826A9" w:rsidP="00A826A9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7181D80A" w14:textId="77777777" w:rsidR="00443018" w:rsidRDefault="00443018" w:rsidP="00EA441E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14:paraId="740044DF" w14:textId="1BE66A1F" w:rsidR="007630F6" w:rsidRPr="00960141" w:rsidRDefault="0065696F" w:rsidP="00EA441E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60141">
        <w:rPr>
          <w:rFonts w:ascii="Times New Roman" w:hAnsi="Times New Roman"/>
          <w:b w:val="0"/>
          <w:i w:val="0"/>
          <w:sz w:val="24"/>
          <w:szCs w:val="24"/>
        </w:rPr>
        <w:t>W</w:t>
      </w:r>
      <w:r w:rsidR="00827F25" w:rsidRPr="00960141">
        <w:rPr>
          <w:rFonts w:ascii="Times New Roman" w:hAnsi="Times New Roman"/>
          <w:b w:val="0"/>
          <w:i w:val="0"/>
          <w:sz w:val="24"/>
          <w:szCs w:val="24"/>
        </w:rPr>
        <w:t>ydatki mają</w:t>
      </w:r>
      <w:r w:rsidR="008708EE" w:rsidRPr="00960141">
        <w:rPr>
          <w:rFonts w:ascii="Times New Roman" w:hAnsi="Times New Roman"/>
          <w:b w:val="0"/>
          <w:i w:val="0"/>
          <w:sz w:val="24"/>
          <w:szCs w:val="24"/>
        </w:rPr>
        <w:t xml:space="preserve">tkowe zostały </w:t>
      </w:r>
      <w:r w:rsidR="008A7D89" w:rsidRPr="00960141">
        <w:rPr>
          <w:rFonts w:ascii="Times New Roman" w:hAnsi="Times New Roman"/>
          <w:b w:val="0"/>
          <w:i w:val="0"/>
          <w:sz w:val="24"/>
          <w:szCs w:val="24"/>
        </w:rPr>
        <w:t>niez</w:t>
      </w:r>
      <w:r w:rsidR="00862249" w:rsidRPr="00960141">
        <w:rPr>
          <w:rFonts w:ascii="Times New Roman" w:hAnsi="Times New Roman"/>
          <w:b w:val="0"/>
          <w:i w:val="0"/>
          <w:sz w:val="24"/>
          <w:szCs w:val="24"/>
        </w:rPr>
        <w:t xml:space="preserve">realizowane </w:t>
      </w:r>
      <w:r w:rsidR="00E90051" w:rsidRPr="00960141">
        <w:rPr>
          <w:rFonts w:ascii="Times New Roman" w:hAnsi="Times New Roman"/>
          <w:b w:val="0"/>
          <w:i w:val="0"/>
          <w:sz w:val="24"/>
          <w:szCs w:val="24"/>
        </w:rPr>
        <w:t xml:space="preserve">w </w:t>
      </w:r>
      <w:r w:rsidR="00827F25" w:rsidRPr="00960141">
        <w:rPr>
          <w:rFonts w:ascii="Times New Roman" w:hAnsi="Times New Roman"/>
          <w:b w:val="0"/>
          <w:i w:val="0"/>
          <w:sz w:val="24"/>
          <w:szCs w:val="24"/>
        </w:rPr>
        <w:t>kwocie</w:t>
      </w:r>
      <w:r w:rsidR="0078331E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956A2" w:rsidRPr="00960141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217602" w:rsidRPr="00960141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B01BD2" w:rsidRPr="00960141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43180B" w:rsidRPr="00960141">
        <w:rPr>
          <w:rFonts w:ascii="Times New Roman" w:hAnsi="Times New Roman"/>
          <w:b w:val="0"/>
          <w:i w:val="0"/>
          <w:sz w:val="24"/>
          <w:szCs w:val="24"/>
        </w:rPr>
        <w:t xml:space="preserve">5 </w:t>
      </w:r>
      <w:r w:rsidR="00154266" w:rsidRPr="00960141">
        <w:rPr>
          <w:rFonts w:ascii="Times New Roman" w:hAnsi="Times New Roman"/>
          <w:b w:val="0"/>
          <w:i w:val="0"/>
          <w:sz w:val="24"/>
          <w:szCs w:val="24"/>
        </w:rPr>
        <w:t>mln zł</w:t>
      </w:r>
      <w:r w:rsidR="00886680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B01BD2" w:rsidRPr="00960141">
        <w:rPr>
          <w:rFonts w:ascii="Times New Roman" w:hAnsi="Times New Roman"/>
          <w:b w:val="0"/>
          <w:i w:val="0"/>
          <w:sz w:val="24"/>
          <w:szCs w:val="24"/>
        </w:rPr>
        <w:t>46</w:t>
      </w:r>
      <w:r w:rsidR="005403EF" w:rsidRPr="00960141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B01BD2" w:rsidRPr="00960141">
        <w:rPr>
          <w:rFonts w:ascii="Times New Roman" w:hAnsi="Times New Roman"/>
          <w:b w:val="0"/>
          <w:i w:val="0"/>
          <w:sz w:val="24"/>
          <w:szCs w:val="24"/>
        </w:rPr>
        <w:t>7</w:t>
      </w:r>
      <w:r w:rsidR="00796D63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mln zł w roku 202</w:t>
      </w:r>
      <w:r w:rsidR="00B01BD2" w:rsidRPr="00960141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796D63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i </w:t>
      </w:r>
      <w:r w:rsidR="0043180B" w:rsidRPr="00960141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B01BD2" w:rsidRPr="00960141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5403EF" w:rsidRPr="00960141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43180B" w:rsidRPr="00960141">
        <w:rPr>
          <w:rFonts w:ascii="Times New Roman" w:hAnsi="Times New Roman"/>
          <w:b w:val="0"/>
          <w:i w:val="0"/>
          <w:sz w:val="24"/>
          <w:szCs w:val="24"/>
        </w:rPr>
        <w:t>8</w:t>
      </w:r>
      <w:r w:rsidR="0050010D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4B30F4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D10CE" w:rsidRPr="00960141">
        <w:rPr>
          <w:rFonts w:ascii="Times New Roman" w:hAnsi="Times New Roman"/>
          <w:b w:val="0"/>
          <w:i w:val="0"/>
          <w:sz w:val="24"/>
          <w:szCs w:val="24"/>
        </w:rPr>
        <w:t>w roku 20</w:t>
      </w:r>
      <w:r w:rsidR="0099356B" w:rsidRPr="00960141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43180B" w:rsidRPr="00960141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886680" w:rsidRPr="00960141">
        <w:rPr>
          <w:rFonts w:ascii="Times New Roman" w:hAnsi="Times New Roman"/>
          <w:b w:val="0"/>
          <w:i w:val="0"/>
          <w:sz w:val="24"/>
          <w:szCs w:val="24"/>
        </w:rPr>
        <w:t>)</w:t>
      </w:r>
      <w:r w:rsidR="00715ACE" w:rsidRPr="00960141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517AE9" w:rsidRPr="00960141">
        <w:rPr>
          <w:rFonts w:ascii="Times New Roman" w:hAnsi="Times New Roman"/>
          <w:b w:val="0"/>
          <w:i w:val="0"/>
          <w:sz w:val="24"/>
          <w:szCs w:val="24"/>
        </w:rPr>
        <w:t>były</w:t>
      </w:r>
      <w:r w:rsidR="001E0A2D">
        <w:rPr>
          <w:rFonts w:ascii="Times New Roman" w:hAnsi="Times New Roman"/>
          <w:b w:val="0"/>
          <w:i w:val="0"/>
          <w:sz w:val="24"/>
          <w:szCs w:val="24"/>
        </w:rPr>
        <w:t xml:space="preserve"> to m.in</w:t>
      </w:r>
      <w:r w:rsidR="00715ACE" w:rsidRPr="00960141">
        <w:rPr>
          <w:rFonts w:ascii="Times New Roman" w:hAnsi="Times New Roman"/>
          <w:b w:val="0"/>
          <w:i w:val="0"/>
          <w:sz w:val="24"/>
          <w:szCs w:val="24"/>
        </w:rPr>
        <w:t>:</w:t>
      </w:r>
      <w:r w:rsidR="006B63B3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495F0956" w14:textId="0AB9E5E9" w:rsidR="007630F6" w:rsidRPr="00960141" w:rsidRDefault="00B1573A" w:rsidP="00133AA9">
      <w:pPr>
        <w:pStyle w:val="Tekstpodstawowy2"/>
        <w:numPr>
          <w:ilvl w:val="0"/>
          <w:numId w:val="19"/>
        </w:num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60141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217602" w:rsidRPr="00960141">
        <w:rPr>
          <w:rFonts w:ascii="Times New Roman" w:hAnsi="Times New Roman"/>
          <w:b w:val="0"/>
          <w:i w:val="0"/>
          <w:sz w:val="24"/>
          <w:szCs w:val="24"/>
        </w:rPr>
        <w:t>2,8</w:t>
      </w:r>
      <w:r w:rsidR="005F02D7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117DD6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384094" w:rsidRPr="00960141">
        <w:rPr>
          <w:rFonts w:ascii="Times New Roman" w:hAnsi="Times New Roman"/>
          <w:b w:val="0"/>
          <w:i w:val="0"/>
          <w:sz w:val="24"/>
          <w:szCs w:val="24"/>
        </w:rPr>
        <w:t xml:space="preserve">modernizacja </w:t>
      </w:r>
      <w:r w:rsidR="00C45F62" w:rsidRPr="00960141">
        <w:rPr>
          <w:rFonts w:ascii="Times New Roman" w:hAnsi="Times New Roman"/>
          <w:b w:val="0"/>
          <w:i w:val="0"/>
          <w:sz w:val="24"/>
          <w:szCs w:val="24"/>
        </w:rPr>
        <w:t xml:space="preserve">ulic gminnych i </w:t>
      </w:r>
      <w:r w:rsidR="003368BA" w:rsidRPr="00960141">
        <w:rPr>
          <w:rFonts w:ascii="Times New Roman" w:hAnsi="Times New Roman"/>
          <w:b w:val="0"/>
          <w:i w:val="0"/>
          <w:sz w:val="24"/>
          <w:szCs w:val="24"/>
        </w:rPr>
        <w:t>powiatowych,</w:t>
      </w:r>
      <w:r w:rsidR="00AE69AD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                 </w:t>
      </w:r>
      <w:r w:rsidR="00B723EB" w:rsidRPr="0096014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404AC1DB" w14:textId="00106452" w:rsidR="00AF2F14" w:rsidRPr="001E0A2D" w:rsidRDefault="00B1573A" w:rsidP="007609F5">
      <w:pPr>
        <w:pStyle w:val="Tekstpodstawowy2"/>
        <w:numPr>
          <w:ilvl w:val="0"/>
          <w:numId w:val="19"/>
        </w:num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E0A2D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217602" w:rsidRPr="001E0A2D">
        <w:rPr>
          <w:rFonts w:ascii="Times New Roman" w:hAnsi="Times New Roman"/>
          <w:b w:val="0"/>
          <w:i w:val="0"/>
          <w:sz w:val="24"/>
          <w:szCs w:val="24"/>
        </w:rPr>
        <w:t>6</w:t>
      </w:r>
      <w:r w:rsidR="00484454" w:rsidRPr="001E0A2D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C45F62" w:rsidRPr="001E0A2D">
        <w:rPr>
          <w:rFonts w:ascii="Times New Roman" w:hAnsi="Times New Roman"/>
          <w:b w:val="0"/>
          <w:i w:val="0"/>
          <w:sz w:val="24"/>
          <w:szCs w:val="24"/>
        </w:rPr>
        <w:t>9</w:t>
      </w:r>
      <w:r w:rsidR="002068E2" w:rsidRPr="001E0A2D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AE69AD" w:rsidRPr="001E0A2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484454" w:rsidRPr="001E0A2D">
        <w:rPr>
          <w:rFonts w:ascii="Times New Roman" w:hAnsi="Times New Roman"/>
          <w:b w:val="0"/>
          <w:i w:val="0"/>
          <w:sz w:val="24"/>
          <w:szCs w:val="24"/>
        </w:rPr>
        <w:t>budownictwo komunalne,</w:t>
      </w:r>
      <w:r w:rsidR="00117DD6" w:rsidRPr="001E0A2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26206467" w14:textId="31B54991" w:rsidR="00217602" w:rsidRPr="001E0A2D" w:rsidRDefault="005E4C04" w:rsidP="006230A6">
      <w:pPr>
        <w:pStyle w:val="Tekstpodstawowy2"/>
        <w:numPr>
          <w:ilvl w:val="0"/>
          <w:numId w:val="19"/>
        </w:num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E0A2D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DB1AD3" w:rsidRPr="001E0A2D">
        <w:rPr>
          <w:rFonts w:ascii="Times New Roman" w:hAnsi="Times New Roman"/>
          <w:b w:val="0"/>
          <w:i w:val="0"/>
          <w:sz w:val="24"/>
          <w:szCs w:val="24"/>
        </w:rPr>
        <w:t>1,4</w:t>
      </w:r>
      <w:r w:rsidRPr="001E0A2D">
        <w:rPr>
          <w:rFonts w:ascii="Times New Roman" w:hAnsi="Times New Roman"/>
          <w:b w:val="0"/>
          <w:i w:val="0"/>
          <w:sz w:val="24"/>
          <w:szCs w:val="24"/>
        </w:rPr>
        <w:t xml:space="preserve"> mln zł </w:t>
      </w:r>
      <w:r w:rsidR="00217602" w:rsidRPr="001E0A2D">
        <w:rPr>
          <w:rFonts w:ascii="Times New Roman" w:hAnsi="Times New Roman"/>
          <w:b w:val="0"/>
          <w:i w:val="0"/>
          <w:sz w:val="24"/>
          <w:szCs w:val="24"/>
        </w:rPr>
        <w:t xml:space="preserve">przebudowa Potoku </w:t>
      </w:r>
      <w:proofErr w:type="spellStart"/>
      <w:r w:rsidR="00217602" w:rsidRPr="001E0A2D">
        <w:rPr>
          <w:rFonts w:ascii="Times New Roman" w:hAnsi="Times New Roman"/>
          <w:b w:val="0"/>
          <w:i w:val="0"/>
          <w:sz w:val="24"/>
          <w:szCs w:val="24"/>
        </w:rPr>
        <w:t>Karlikowskieg</w:t>
      </w:r>
      <w:r w:rsidR="00DB1AD3" w:rsidRPr="001E0A2D">
        <w:rPr>
          <w:rFonts w:ascii="Times New Roman" w:hAnsi="Times New Roman"/>
          <w:b w:val="0"/>
          <w:i w:val="0"/>
          <w:sz w:val="24"/>
          <w:szCs w:val="24"/>
        </w:rPr>
        <w:t>o</w:t>
      </w:r>
      <w:proofErr w:type="spellEnd"/>
      <w:r w:rsidR="00DB1AD3" w:rsidRPr="001E0A2D">
        <w:rPr>
          <w:rFonts w:ascii="Times New Roman" w:hAnsi="Times New Roman"/>
          <w:b w:val="0"/>
          <w:i w:val="0"/>
          <w:sz w:val="24"/>
          <w:szCs w:val="24"/>
        </w:rPr>
        <w:t xml:space="preserve"> wraz z </w:t>
      </w:r>
      <w:r w:rsidR="00443018" w:rsidRPr="001E0A2D">
        <w:rPr>
          <w:rFonts w:ascii="Times New Roman" w:hAnsi="Times New Roman"/>
          <w:b w:val="0"/>
          <w:i w:val="0"/>
          <w:sz w:val="24"/>
          <w:szCs w:val="24"/>
        </w:rPr>
        <w:t>dokumentacją</w:t>
      </w:r>
      <w:r w:rsidR="00DB1AD3" w:rsidRPr="001E0A2D">
        <w:rPr>
          <w:rFonts w:ascii="Times New Roman" w:hAnsi="Times New Roman"/>
          <w:b w:val="0"/>
          <w:i w:val="0"/>
          <w:sz w:val="24"/>
          <w:szCs w:val="24"/>
        </w:rPr>
        <w:t>,</w:t>
      </w:r>
    </w:p>
    <w:p w14:paraId="25704094" w14:textId="60AD47D0" w:rsidR="00A21E34" w:rsidRPr="00443018" w:rsidRDefault="00217602" w:rsidP="0004720F">
      <w:pPr>
        <w:pStyle w:val="Tekstpodstawowy2"/>
        <w:numPr>
          <w:ilvl w:val="0"/>
          <w:numId w:val="19"/>
        </w:num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018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</w:t>
      </w:r>
      <w:r w:rsidR="00960141" w:rsidRPr="00443018">
        <w:rPr>
          <w:rFonts w:ascii="Times New Roman" w:hAnsi="Times New Roman"/>
          <w:b w:val="0"/>
          <w:i w:val="0"/>
          <w:sz w:val="24"/>
          <w:szCs w:val="24"/>
        </w:rPr>
        <w:t>2,5</w:t>
      </w:r>
      <w:r w:rsidR="00A21E34" w:rsidRPr="00443018">
        <w:rPr>
          <w:rFonts w:ascii="Times New Roman" w:hAnsi="Times New Roman"/>
          <w:b w:val="0"/>
          <w:i w:val="0"/>
          <w:sz w:val="24"/>
          <w:szCs w:val="24"/>
        </w:rPr>
        <w:t xml:space="preserve"> mln zł poprawa efektywności energetycznej z uwzględnieniem OZE w uzdrowisku Sopot,</w:t>
      </w:r>
    </w:p>
    <w:p w14:paraId="115C1298" w14:textId="12469CC5" w:rsidR="00036624" w:rsidRPr="00443018" w:rsidRDefault="00960141" w:rsidP="008F1C8D">
      <w:pPr>
        <w:pStyle w:val="Tekstpodstawowy2"/>
        <w:numPr>
          <w:ilvl w:val="0"/>
          <w:numId w:val="19"/>
        </w:num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018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A21E34" w:rsidRPr="00443018">
        <w:rPr>
          <w:rFonts w:ascii="Times New Roman" w:hAnsi="Times New Roman"/>
          <w:b w:val="0"/>
          <w:i w:val="0"/>
          <w:sz w:val="24"/>
          <w:szCs w:val="24"/>
        </w:rPr>
        <w:t>1,</w:t>
      </w:r>
      <w:r w:rsidRPr="00443018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036624" w:rsidRPr="00443018">
        <w:rPr>
          <w:rFonts w:ascii="Times New Roman" w:hAnsi="Times New Roman"/>
          <w:b w:val="0"/>
          <w:i w:val="0"/>
          <w:sz w:val="24"/>
          <w:szCs w:val="24"/>
        </w:rPr>
        <w:t xml:space="preserve"> mln </w:t>
      </w:r>
      <w:r w:rsidR="00A21E34" w:rsidRPr="00443018">
        <w:rPr>
          <w:rFonts w:ascii="Times New Roman" w:hAnsi="Times New Roman"/>
          <w:b w:val="0"/>
          <w:i w:val="0"/>
          <w:sz w:val="24"/>
          <w:szCs w:val="24"/>
        </w:rPr>
        <w:t>budowa i wystawa Opery Leśnej w Sopocie,</w:t>
      </w:r>
    </w:p>
    <w:p w14:paraId="4BEE0302" w14:textId="25FE1C7F" w:rsidR="00DB1AD3" w:rsidRPr="00443018" w:rsidRDefault="00117DD6" w:rsidP="00A55C8E">
      <w:pPr>
        <w:pStyle w:val="Tekstpodstawowy2"/>
        <w:numPr>
          <w:ilvl w:val="0"/>
          <w:numId w:val="19"/>
        </w:num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018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DB1AD3" w:rsidRPr="00443018">
        <w:rPr>
          <w:rFonts w:ascii="Times New Roman" w:hAnsi="Times New Roman"/>
          <w:b w:val="0"/>
          <w:i w:val="0"/>
          <w:sz w:val="24"/>
          <w:szCs w:val="24"/>
        </w:rPr>
        <w:t>1,5 mln zł na zadania związane z działalnością sportową,</w:t>
      </w:r>
    </w:p>
    <w:p w14:paraId="4552EE47" w14:textId="176A093C" w:rsidR="00036624" w:rsidRPr="00AD7346" w:rsidRDefault="00AD7346" w:rsidP="00036624">
      <w:pPr>
        <w:pStyle w:val="Tekstpodstawowy2"/>
        <w:numPr>
          <w:ilvl w:val="0"/>
          <w:numId w:val="19"/>
        </w:numPr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3368BA" w:rsidRPr="00AD7346">
        <w:rPr>
          <w:rFonts w:ascii="Times New Roman" w:hAnsi="Times New Roman"/>
          <w:b w:val="0"/>
          <w:i w:val="0"/>
          <w:sz w:val="24"/>
          <w:szCs w:val="24"/>
        </w:rPr>
        <w:t>1,1</w:t>
      </w:r>
      <w:r w:rsidR="00036624" w:rsidRPr="00AD7346">
        <w:rPr>
          <w:rFonts w:ascii="Times New Roman" w:hAnsi="Times New Roman"/>
          <w:b w:val="0"/>
          <w:i w:val="0"/>
          <w:sz w:val="24"/>
          <w:szCs w:val="24"/>
        </w:rPr>
        <w:t xml:space="preserve"> mln zł </w:t>
      </w:r>
      <w:r w:rsidR="003368BA" w:rsidRPr="00AD7346">
        <w:rPr>
          <w:rFonts w:ascii="Times New Roman" w:hAnsi="Times New Roman"/>
          <w:b w:val="0"/>
          <w:i w:val="0"/>
          <w:sz w:val="24"/>
          <w:szCs w:val="24"/>
        </w:rPr>
        <w:t>przebudowa, nadbudowa i modernizacja budynku UM.</w:t>
      </w:r>
    </w:p>
    <w:p w14:paraId="1E1BA890" w14:textId="77777777" w:rsidR="003368BA" w:rsidRPr="003368BA" w:rsidRDefault="003368BA" w:rsidP="003368BA">
      <w:pPr>
        <w:pStyle w:val="Tekstpodstawowy2"/>
        <w:ind w:left="375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14:paraId="596C5DF8" w14:textId="21CED621" w:rsidR="00E45EB3" w:rsidRPr="002C7CF2" w:rsidRDefault="005423B6" w:rsidP="007630F6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2C7CF2">
        <w:rPr>
          <w:rFonts w:ascii="Times New Roman" w:hAnsi="Times New Roman"/>
          <w:b w:val="0"/>
          <w:i w:val="0"/>
          <w:sz w:val="24"/>
          <w:szCs w:val="24"/>
        </w:rPr>
        <w:t>Szczegółowe zestawienie realizacji planu wydatków majątkowych zamiesz</w:t>
      </w:r>
      <w:r w:rsidR="007630F6" w:rsidRPr="002C7CF2">
        <w:rPr>
          <w:rFonts w:ascii="Times New Roman" w:hAnsi="Times New Roman"/>
          <w:b w:val="0"/>
          <w:i w:val="0"/>
          <w:sz w:val="24"/>
          <w:szCs w:val="24"/>
        </w:rPr>
        <w:t>czone zostało w załączniku nr 3</w:t>
      </w:r>
      <w:r w:rsidR="00443018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7630F6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063A9F8C" w14:textId="4FC9A710" w:rsidR="004224EA" w:rsidRPr="0058008E" w:rsidRDefault="006A3591" w:rsidP="008A7D89">
      <w:pPr>
        <w:pStyle w:val="Tekstpodstawowy2"/>
        <w:ind w:firstLine="42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Natomiast </w:t>
      </w:r>
      <w:r w:rsidR="00571AC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niewykonanie </w:t>
      </w:r>
      <w:r w:rsidR="0029608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o </w:t>
      </w:r>
      <w:r w:rsidR="0043180B" w:rsidRPr="0058008E">
        <w:rPr>
          <w:rFonts w:ascii="Times New Roman" w:hAnsi="Times New Roman"/>
          <w:b w:val="0"/>
          <w:i w:val="0"/>
          <w:sz w:val="24"/>
          <w:szCs w:val="24"/>
        </w:rPr>
        <w:t>39</w:t>
      </w:r>
      <w:r w:rsidR="005403EF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43180B" w:rsidRPr="0058008E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79633A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79633A" w:rsidRPr="0058008E">
        <w:rPr>
          <w:rStyle w:val="Odwoanieprzypisudolnego"/>
          <w:rFonts w:ascii="Times New Roman" w:hAnsi="Times New Roman"/>
          <w:b w:val="0"/>
          <w:i w:val="0"/>
          <w:sz w:val="24"/>
          <w:szCs w:val="24"/>
        </w:rPr>
        <w:footnoteReference w:id="16"/>
      </w:r>
      <w:r w:rsidR="0079633A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571AC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planu </w:t>
      </w:r>
      <w:r w:rsidR="00700D5B" w:rsidRPr="0058008E">
        <w:rPr>
          <w:rFonts w:ascii="Times New Roman" w:hAnsi="Times New Roman"/>
          <w:b w:val="0"/>
          <w:i w:val="0"/>
          <w:sz w:val="24"/>
          <w:szCs w:val="24"/>
        </w:rPr>
        <w:t>wydatków bieżących</w:t>
      </w:r>
      <w:r w:rsidR="00F3236B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4224EA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571AC2" w:rsidRPr="0058008E">
        <w:rPr>
          <w:rFonts w:ascii="Times New Roman" w:hAnsi="Times New Roman"/>
          <w:b w:val="0"/>
          <w:i w:val="0"/>
          <w:sz w:val="24"/>
          <w:szCs w:val="24"/>
        </w:rPr>
        <w:t>to</w:t>
      </w:r>
      <w:r w:rsidR="008B3EE3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36624" w:rsidRPr="0058008E">
        <w:rPr>
          <w:rFonts w:ascii="Times New Roman" w:hAnsi="Times New Roman"/>
          <w:b w:val="0"/>
          <w:i w:val="0"/>
          <w:sz w:val="24"/>
          <w:szCs w:val="24"/>
        </w:rPr>
        <w:t>wynik efektywnego</w:t>
      </w:r>
      <w:r w:rsidR="00320BF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36624" w:rsidRPr="0058008E">
        <w:rPr>
          <w:rFonts w:ascii="Times New Roman" w:hAnsi="Times New Roman"/>
          <w:b w:val="0"/>
          <w:i w:val="0"/>
          <w:sz w:val="24"/>
          <w:szCs w:val="24"/>
        </w:rPr>
        <w:br/>
      </w:r>
      <w:r w:rsidR="00537F24" w:rsidRPr="0058008E">
        <w:rPr>
          <w:rFonts w:ascii="Times New Roman" w:hAnsi="Times New Roman"/>
          <w:b w:val="0"/>
          <w:i w:val="0"/>
          <w:sz w:val="24"/>
          <w:szCs w:val="24"/>
        </w:rPr>
        <w:t xml:space="preserve">i </w:t>
      </w:r>
      <w:r w:rsidR="00320BF0" w:rsidRPr="0058008E">
        <w:rPr>
          <w:rFonts w:ascii="Times New Roman" w:hAnsi="Times New Roman"/>
          <w:b w:val="0"/>
          <w:i w:val="0"/>
          <w:sz w:val="24"/>
          <w:szCs w:val="24"/>
        </w:rPr>
        <w:t>oszczędnego</w:t>
      </w:r>
      <w:r w:rsidR="00E73E8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prowadzenia gospodarki finanso</w:t>
      </w:r>
      <w:r w:rsidR="00520A03" w:rsidRPr="0058008E">
        <w:rPr>
          <w:rFonts w:ascii="Times New Roman" w:hAnsi="Times New Roman"/>
          <w:b w:val="0"/>
          <w:i w:val="0"/>
          <w:sz w:val="24"/>
          <w:szCs w:val="24"/>
        </w:rPr>
        <w:t xml:space="preserve">wej </w:t>
      </w:r>
      <w:r w:rsidR="00320BF0" w:rsidRPr="0058008E">
        <w:rPr>
          <w:rFonts w:ascii="Times New Roman" w:hAnsi="Times New Roman"/>
          <w:b w:val="0"/>
          <w:i w:val="0"/>
          <w:sz w:val="24"/>
          <w:szCs w:val="24"/>
        </w:rPr>
        <w:t>w trakcie roku</w:t>
      </w:r>
      <w:r w:rsidR="00DF68F3"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520A03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Niższe </w:t>
      </w:r>
      <w:r w:rsidR="00C50CE0" w:rsidRPr="0058008E">
        <w:rPr>
          <w:rFonts w:ascii="Times New Roman" w:hAnsi="Times New Roman"/>
          <w:b w:val="0"/>
          <w:i w:val="0"/>
          <w:sz w:val="24"/>
          <w:szCs w:val="24"/>
        </w:rPr>
        <w:t>wydatki</w:t>
      </w:r>
      <w:r w:rsidR="00520A03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poniesione zostały na:</w:t>
      </w:r>
    </w:p>
    <w:p w14:paraId="12075FE1" w14:textId="506491CC" w:rsidR="004F00C9" w:rsidRPr="002C7CF2" w:rsidRDefault="005C708C" w:rsidP="008A7D89">
      <w:pPr>
        <w:pStyle w:val="Tekstpodstawowy2"/>
        <w:numPr>
          <w:ilvl w:val="0"/>
          <w:numId w:val="4"/>
        </w:numPr>
        <w:tabs>
          <w:tab w:val="clear" w:pos="780"/>
        </w:tabs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2C7CF2">
        <w:rPr>
          <w:rFonts w:ascii="Times New Roman" w:hAnsi="Times New Roman"/>
          <w:b w:val="0"/>
          <w:i w:val="0"/>
          <w:sz w:val="24"/>
          <w:szCs w:val="24"/>
        </w:rPr>
        <w:t>tzw.</w:t>
      </w:r>
      <w:r w:rsidR="00A62CA4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3801E4" w:rsidRPr="002C7CF2">
        <w:rPr>
          <w:rFonts w:ascii="Times New Roman" w:hAnsi="Times New Roman"/>
          <w:b w:val="0"/>
          <w:i w:val="0"/>
          <w:sz w:val="24"/>
          <w:szCs w:val="24"/>
        </w:rPr>
        <w:t>poz</w:t>
      </w:r>
      <w:r w:rsidR="00615EBA" w:rsidRPr="002C7CF2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3801E4" w:rsidRPr="002C7CF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C85C65" w:rsidRPr="002C7CF2">
        <w:rPr>
          <w:rFonts w:ascii="Times New Roman" w:hAnsi="Times New Roman"/>
          <w:b w:val="0"/>
          <w:i w:val="0"/>
          <w:sz w:val="24"/>
          <w:szCs w:val="24"/>
        </w:rPr>
        <w:t>tał</w:t>
      </w:r>
      <w:r w:rsidR="00520A03" w:rsidRPr="002C7CF2">
        <w:rPr>
          <w:rFonts w:ascii="Times New Roman" w:hAnsi="Times New Roman"/>
          <w:b w:val="0"/>
          <w:i w:val="0"/>
          <w:sz w:val="24"/>
          <w:szCs w:val="24"/>
        </w:rPr>
        <w:t>e</w:t>
      </w:r>
      <w:r w:rsidR="00C85C65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wydatk</w:t>
      </w:r>
      <w:r w:rsidR="00520A03" w:rsidRPr="002C7CF2">
        <w:rPr>
          <w:rFonts w:ascii="Times New Roman" w:hAnsi="Times New Roman"/>
          <w:b w:val="0"/>
          <w:i w:val="0"/>
          <w:sz w:val="24"/>
          <w:szCs w:val="24"/>
        </w:rPr>
        <w:t>i</w:t>
      </w:r>
      <w:r w:rsidR="00C85C65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bieżąc</w:t>
      </w:r>
      <w:r w:rsidR="00520A03" w:rsidRPr="002C7CF2">
        <w:rPr>
          <w:rFonts w:ascii="Times New Roman" w:hAnsi="Times New Roman"/>
          <w:b w:val="0"/>
          <w:i w:val="0"/>
          <w:sz w:val="24"/>
          <w:szCs w:val="24"/>
        </w:rPr>
        <w:t>e</w:t>
      </w:r>
      <w:r w:rsidR="00C85C65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– </w:t>
      </w:r>
      <w:r w:rsidR="002C7CF2" w:rsidRPr="002C7CF2">
        <w:rPr>
          <w:rFonts w:ascii="Times New Roman" w:hAnsi="Times New Roman"/>
          <w:b w:val="0"/>
          <w:i w:val="0"/>
          <w:sz w:val="24"/>
          <w:szCs w:val="24"/>
        </w:rPr>
        <w:t>30,7</w:t>
      </w:r>
      <w:r w:rsidR="003801E4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mln </w:t>
      </w:r>
      <w:r w:rsidR="005A3646" w:rsidRPr="002C7CF2">
        <w:rPr>
          <w:rFonts w:ascii="Times New Roman" w:hAnsi="Times New Roman"/>
          <w:b w:val="0"/>
          <w:i w:val="0"/>
          <w:sz w:val="24"/>
          <w:szCs w:val="24"/>
        </w:rPr>
        <w:t>zł</w:t>
      </w:r>
      <w:r w:rsidR="00C50CE0" w:rsidRPr="002C7CF2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5A3646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rezerw</w:t>
      </w:r>
      <w:r w:rsidR="00C50CE0" w:rsidRPr="002C7CF2">
        <w:rPr>
          <w:rFonts w:ascii="Times New Roman" w:hAnsi="Times New Roman"/>
          <w:b w:val="0"/>
          <w:i w:val="0"/>
          <w:sz w:val="24"/>
          <w:szCs w:val="24"/>
        </w:rPr>
        <w:t>y budżetowe</w:t>
      </w:r>
      <w:r w:rsidR="00931BA6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niewyko</w:t>
      </w:r>
      <w:r w:rsidR="007B43D8" w:rsidRPr="002C7CF2">
        <w:rPr>
          <w:rFonts w:ascii="Times New Roman" w:hAnsi="Times New Roman"/>
          <w:b w:val="0"/>
          <w:i w:val="0"/>
          <w:sz w:val="24"/>
          <w:szCs w:val="24"/>
        </w:rPr>
        <w:t>rzystan</w:t>
      </w:r>
      <w:r w:rsidR="00C50CE0" w:rsidRPr="002C7CF2">
        <w:rPr>
          <w:rFonts w:ascii="Times New Roman" w:hAnsi="Times New Roman"/>
          <w:b w:val="0"/>
          <w:i w:val="0"/>
          <w:sz w:val="24"/>
          <w:szCs w:val="24"/>
        </w:rPr>
        <w:t>e</w:t>
      </w:r>
      <w:r w:rsidR="007B43D8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został</w:t>
      </w:r>
      <w:r w:rsidR="00C50CE0" w:rsidRPr="002C7CF2">
        <w:rPr>
          <w:rFonts w:ascii="Times New Roman" w:hAnsi="Times New Roman"/>
          <w:b w:val="0"/>
          <w:i w:val="0"/>
          <w:sz w:val="24"/>
          <w:szCs w:val="24"/>
        </w:rPr>
        <w:t>y</w:t>
      </w:r>
      <w:r w:rsidR="007B43D8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C0CBA" w:rsidRPr="002C7CF2">
        <w:rPr>
          <w:rFonts w:ascii="Times New Roman" w:hAnsi="Times New Roman"/>
          <w:b w:val="0"/>
          <w:i w:val="0"/>
          <w:sz w:val="24"/>
          <w:szCs w:val="24"/>
        </w:rPr>
        <w:br/>
      </w:r>
      <w:r w:rsidR="007B43D8" w:rsidRPr="002C7CF2">
        <w:rPr>
          <w:rFonts w:ascii="Times New Roman" w:hAnsi="Times New Roman"/>
          <w:b w:val="0"/>
          <w:i w:val="0"/>
          <w:sz w:val="24"/>
          <w:szCs w:val="24"/>
        </w:rPr>
        <w:t xml:space="preserve">w wysokości </w:t>
      </w:r>
      <w:r w:rsidR="002C7CF2" w:rsidRPr="002C7CF2">
        <w:rPr>
          <w:rFonts w:ascii="Times New Roman" w:hAnsi="Times New Roman"/>
          <w:b w:val="0"/>
          <w:i w:val="0"/>
          <w:sz w:val="24"/>
          <w:szCs w:val="24"/>
        </w:rPr>
        <w:t>9</w:t>
      </w:r>
      <w:r w:rsidR="00D66C82" w:rsidRPr="002C7CF2">
        <w:rPr>
          <w:rFonts w:ascii="Times New Roman" w:hAnsi="Times New Roman"/>
          <w:b w:val="0"/>
          <w:i w:val="0"/>
          <w:sz w:val="24"/>
          <w:szCs w:val="24"/>
        </w:rPr>
        <w:t>,9</w:t>
      </w:r>
      <w:r w:rsidR="008A4B80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057DDE" w:rsidRPr="002C7CF2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540C71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C3349" w:rsidRPr="002C7CF2">
        <w:rPr>
          <w:rFonts w:ascii="Times New Roman" w:hAnsi="Times New Roman"/>
          <w:b w:val="0"/>
          <w:i w:val="0"/>
          <w:sz w:val="24"/>
          <w:szCs w:val="24"/>
        </w:rPr>
        <w:t xml:space="preserve">niższe też o </w:t>
      </w:r>
      <w:r w:rsidR="002C7CF2" w:rsidRPr="002C7CF2">
        <w:rPr>
          <w:rFonts w:ascii="Times New Roman" w:hAnsi="Times New Roman"/>
          <w:b w:val="0"/>
          <w:i w:val="0"/>
          <w:sz w:val="24"/>
          <w:szCs w:val="24"/>
        </w:rPr>
        <w:t>2,0</w:t>
      </w:r>
      <w:r w:rsidR="008F0D66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mln zł </w:t>
      </w:r>
      <w:r w:rsidR="008A4B80" w:rsidRPr="002C7CF2">
        <w:rPr>
          <w:rFonts w:ascii="Times New Roman" w:hAnsi="Times New Roman"/>
          <w:b w:val="0"/>
          <w:i w:val="0"/>
          <w:sz w:val="24"/>
          <w:szCs w:val="24"/>
        </w:rPr>
        <w:t>były zakupy</w:t>
      </w:r>
      <w:r w:rsidR="008F0D66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materiałów</w:t>
      </w:r>
      <w:r w:rsidR="00791EBB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czy </w:t>
      </w:r>
      <w:r w:rsidR="00BA59ED" w:rsidRPr="002C7CF2">
        <w:rPr>
          <w:rFonts w:ascii="Times New Roman" w:hAnsi="Times New Roman"/>
          <w:b w:val="0"/>
          <w:i w:val="0"/>
          <w:sz w:val="24"/>
          <w:szCs w:val="24"/>
        </w:rPr>
        <w:t xml:space="preserve">zakup usług zdrowotnych </w:t>
      </w:r>
      <w:r w:rsidR="00C50CE0" w:rsidRPr="002C7CF2">
        <w:rPr>
          <w:rFonts w:ascii="Times New Roman" w:hAnsi="Times New Roman"/>
          <w:b w:val="0"/>
          <w:i w:val="0"/>
          <w:sz w:val="24"/>
          <w:szCs w:val="24"/>
        </w:rPr>
        <w:t xml:space="preserve">o </w:t>
      </w:r>
      <w:r w:rsidR="00BA59ED" w:rsidRPr="002C7CF2">
        <w:rPr>
          <w:rFonts w:ascii="Times New Roman" w:hAnsi="Times New Roman"/>
          <w:b w:val="0"/>
          <w:i w:val="0"/>
          <w:sz w:val="24"/>
          <w:szCs w:val="24"/>
        </w:rPr>
        <w:t>0,</w:t>
      </w:r>
      <w:r w:rsidR="002C7CF2" w:rsidRPr="002C7CF2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BA59ED" w:rsidRPr="002C7CF2">
        <w:rPr>
          <w:rFonts w:ascii="Times New Roman" w:hAnsi="Times New Roman"/>
          <w:b w:val="0"/>
          <w:i w:val="0"/>
          <w:sz w:val="24"/>
          <w:szCs w:val="24"/>
        </w:rPr>
        <w:t xml:space="preserve"> mln, </w:t>
      </w:r>
    </w:p>
    <w:p w14:paraId="5B6CA6DF" w14:textId="641E72D5" w:rsidR="004224EA" w:rsidRPr="000E2482" w:rsidRDefault="004F00C9" w:rsidP="00072550">
      <w:pPr>
        <w:pStyle w:val="Tekstpodstawowy2"/>
        <w:numPr>
          <w:ilvl w:val="0"/>
          <w:numId w:val="4"/>
        </w:numPr>
        <w:tabs>
          <w:tab w:val="clear" w:pos="780"/>
        </w:tabs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E2482">
        <w:rPr>
          <w:rFonts w:ascii="Times New Roman" w:hAnsi="Times New Roman"/>
          <w:b w:val="0"/>
          <w:i w:val="0"/>
          <w:sz w:val="24"/>
          <w:szCs w:val="24"/>
        </w:rPr>
        <w:t>wyn</w:t>
      </w:r>
      <w:r w:rsidR="00217EC3" w:rsidRPr="000E2482">
        <w:rPr>
          <w:rFonts w:ascii="Times New Roman" w:hAnsi="Times New Roman"/>
          <w:b w:val="0"/>
          <w:i w:val="0"/>
          <w:sz w:val="24"/>
          <w:szCs w:val="24"/>
        </w:rPr>
        <w:t xml:space="preserve">agrodzenia wraz z pochodnymi – </w:t>
      </w:r>
      <w:r w:rsidR="000E2482" w:rsidRPr="000E2482">
        <w:rPr>
          <w:rFonts w:ascii="Times New Roman" w:hAnsi="Times New Roman"/>
          <w:b w:val="0"/>
          <w:i w:val="0"/>
          <w:sz w:val="24"/>
          <w:szCs w:val="24"/>
        </w:rPr>
        <w:t>5,3</w:t>
      </w:r>
      <w:r w:rsidRPr="000E2482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44301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E171E3" w:rsidRPr="000E24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B0D85" w:rsidRPr="00DB0D85">
        <w:rPr>
          <w:rFonts w:ascii="Times New Roman" w:hAnsi="Times New Roman"/>
          <w:b w:val="0"/>
          <w:i w:val="0"/>
          <w:sz w:val="24"/>
          <w:szCs w:val="24"/>
        </w:rPr>
        <w:t>były</w:t>
      </w:r>
      <w:r w:rsidR="00F82166" w:rsidRPr="00DB0D85">
        <w:rPr>
          <w:rFonts w:ascii="Times New Roman" w:hAnsi="Times New Roman"/>
          <w:b w:val="0"/>
          <w:i w:val="0"/>
          <w:sz w:val="24"/>
          <w:szCs w:val="24"/>
        </w:rPr>
        <w:t xml:space="preserve"> to przede wszyst</w:t>
      </w:r>
      <w:r w:rsidR="00F82166" w:rsidRPr="000E2482">
        <w:rPr>
          <w:rFonts w:ascii="Times New Roman" w:hAnsi="Times New Roman"/>
          <w:b w:val="0"/>
          <w:i w:val="0"/>
          <w:sz w:val="24"/>
          <w:szCs w:val="24"/>
        </w:rPr>
        <w:t xml:space="preserve">kim </w:t>
      </w:r>
      <w:r w:rsidR="00992243" w:rsidRPr="000E2482">
        <w:rPr>
          <w:rFonts w:ascii="Times New Roman" w:hAnsi="Times New Roman"/>
          <w:b w:val="0"/>
          <w:i w:val="0"/>
          <w:sz w:val="24"/>
          <w:szCs w:val="24"/>
        </w:rPr>
        <w:t>pochodne od wynagrodzeń</w:t>
      </w:r>
      <w:r w:rsidR="00F82166" w:rsidRPr="000E2482">
        <w:rPr>
          <w:rFonts w:ascii="Times New Roman" w:hAnsi="Times New Roman"/>
          <w:b w:val="0"/>
          <w:i w:val="0"/>
          <w:sz w:val="24"/>
          <w:szCs w:val="24"/>
        </w:rPr>
        <w:t>, w związku z pozostawaniem pracowników na zwolnieniach lekarskich</w:t>
      </w:r>
      <w:r w:rsidR="00B02867" w:rsidRPr="000E2482">
        <w:rPr>
          <w:rFonts w:ascii="Times New Roman" w:hAnsi="Times New Roman"/>
          <w:b w:val="0"/>
          <w:i w:val="0"/>
          <w:sz w:val="24"/>
          <w:szCs w:val="24"/>
        </w:rPr>
        <w:t>,</w:t>
      </w:r>
    </w:p>
    <w:p w14:paraId="345D6AEF" w14:textId="14E3D062" w:rsidR="00062563" w:rsidRPr="008A1A45" w:rsidRDefault="00520A03" w:rsidP="00A232D5">
      <w:pPr>
        <w:pStyle w:val="Tekstpodstawowy2"/>
        <w:numPr>
          <w:ilvl w:val="0"/>
          <w:numId w:val="4"/>
        </w:numPr>
        <w:tabs>
          <w:tab w:val="clear" w:pos="780"/>
        </w:tabs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A1A45">
        <w:rPr>
          <w:rFonts w:ascii="Times New Roman" w:hAnsi="Times New Roman"/>
          <w:b w:val="0"/>
          <w:i w:val="0"/>
          <w:sz w:val="24"/>
          <w:szCs w:val="24"/>
        </w:rPr>
        <w:t>przekazane</w:t>
      </w:r>
      <w:r w:rsidR="000830D2" w:rsidRPr="008A1A4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171E3" w:rsidRPr="008A1A45">
        <w:rPr>
          <w:rFonts w:ascii="Times New Roman" w:hAnsi="Times New Roman"/>
          <w:b w:val="0"/>
          <w:i w:val="0"/>
          <w:sz w:val="24"/>
          <w:szCs w:val="24"/>
        </w:rPr>
        <w:t>z budżetu miasta</w:t>
      </w:r>
      <w:r w:rsidRPr="008A1A45">
        <w:rPr>
          <w:rFonts w:ascii="Times New Roman" w:hAnsi="Times New Roman"/>
          <w:b w:val="0"/>
          <w:i w:val="0"/>
          <w:sz w:val="24"/>
          <w:szCs w:val="24"/>
        </w:rPr>
        <w:t xml:space="preserve"> dotacje</w:t>
      </w:r>
      <w:r w:rsidR="00254900" w:rsidRPr="008A1A45">
        <w:rPr>
          <w:rFonts w:ascii="Times New Roman" w:hAnsi="Times New Roman"/>
          <w:b w:val="0"/>
          <w:i w:val="0"/>
          <w:sz w:val="24"/>
          <w:szCs w:val="24"/>
        </w:rPr>
        <w:t xml:space="preserve"> – </w:t>
      </w:r>
      <w:r w:rsidR="00295B74" w:rsidRPr="008A1A45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B47946" w:rsidRPr="008A1A45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8A1A45" w:rsidRPr="008A1A45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062563" w:rsidRPr="008A1A45">
        <w:rPr>
          <w:rFonts w:ascii="Times New Roman" w:hAnsi="Times New Roman"/>
          <w:b w:val="0"/>
          <w:i w:val="0"/>
          <w:sz w:val="24"/>
          <w:szCs w:val="24"/>
        </w:rPr>
        <w:t xml:space="preserve"> mln </w:t>
      </w:r>
      <w:r w:rsidR="00DB0D85" w:rsidRPr="008A1A45">
        <w:rPr>
          <w:rFonts w:ascii="Times New Roman" w:hAnsi="Times New Roman"/>
          <w:b w:val="0"/>
          <w:i w:val="0"/>
          <w:sz w:val="24"/>
          <w:szCs w:val="24"/>
        </w:rPr>
        <w:t>zł, ½</w:t>
      </w:r>
      <w:r w:rsidR="008B0D69" w:rsidRPr="008A1A45">
        <w:rPr>
          <w:rFonts w:ascii="Times New Roman" w:hAnsi="Times New Roman"/>
          <w:b w:val="0"/>
          <w:i w:val="0"/>
          <w:sz w:val="24"/>
          <w:szCs w:val="24"/>
          <w:vertAlign w:val="subscript"/>
        </w:rPr>
        <w:t xml:space="preserve"> </w:t>
      </w:r>
      <w:r w:rsidR="008B0D69" w:rsidRPr="008A1A45">
        <w:rPr>
          <w:rFonts w:ascii="Times New Roman" w:hAnsi="Times New Roman"/>
          <w:b w:val="0"/>
          <w:i w:val="0"/>
          <w:sz w:val="24"/>
          <w:szCs w:val="24"/>
        </w:rPr>
        <w:t>środków</w:t>
      </w:r>
      <w:r w:rsidR="008A7D89" w:rsidRPr="008A1A4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C50CE0" w:rsidRPr="008A1A45">
        <w:rPr>
          <w:rFonts w:ascii="Times New Roman" w:hAnsi="Times New Roman"/>
          <w:b w:val="0"/>
          <w:i w:val="0"/>
          <w:sz w:val="24"/>
          <w:szCs w:val="24"/>
        </w:rPr>
        <w:t>to dotacje dla</w:t>
      </w:r>
      <w:r w:rsidR="00F82166" w:rsidRPr="008A1A45">
        <w:rPr>
          <w:rFonts w:ascii="Times New Roman" w:hAnsi="Times New Roman"/>
          <w:b w:val="0"/>
          <w:i w:val="0"/>
          <w:sz w:val="24"/>
          <w:szCs w:val="24"/>
        </w:rPr>
        <w:t xml:space="preserve"> instytucji kultury</w:t>
      </w:r>
      <w:r w:rsidR="006D2F8F" w:rsidRPr="008A1A45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</w:p>
    <w:p w14:paraId="7EDC2491" w14:textId="7A9FD797" w:rsidR="008A4B80" w:rsidRPr="00DF4865" w:rsidRDefault="00540C71" w:rsidP="008A7D89">
      <w:pPr>
        <w:pStyle w:val="Tekstpodstawowy2"/>
        <w:numPr>
          <w:ilvl w:val="0"/>
          <w:numId w:val="4"/>
        </w:numPr>
        <w:tabs>
          <w:tab w:val="clear" w:pos="780"/>
        </w:tabs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F4865">
        <w:rPr>
          <w:rFonts w:ascii="Times New Roman" w:hAnsi="Times New Roman"/>
          <w:b w:val="0"/>
          <w:i w:val="0"/>
          <w:sz w:val="24"/>
          <w:szCs w:val="24"/>
        </w:rPr>
        <w:t>remont</w:t>
      </w:r>
      <w:r w:rsidR="008B0D69" w:rsidRPr="00DF4865">
        <w:rPr>
          <w:rFonts w:ascii="Times New Roman" w:hAnsi="Times New Roman"/>
          <w:b w:val="0"/>
          <w:i w:val="0"/>
          <w:sz w:val="24"/>
          <w:szCs w:val="24"/>
        </w:rPr>
        <w:t>y</w:t>
      </w:r>
      <w:r w:rsidR="00217EC3" w:rsidRPr="00DF4865">
        <w:rPr>
          <w:rFonts w:ascii="Times New Roman" w:hAnsi="Times New Roman"/>
          <w:b w:val="0"/>
          <w:i w:val="0"/>
          <w:sz w:val="24"/>
          <w:szCs w:val="24"/>
        </w:rPr>
        <w:t xml:space="preserve"> – </w:t>
      </w:r>
      <w:r w:rsidR="00DF4865" w:rsidRPr="00DF4865">
        <w:rPr>
          <w:rFonts w:ascii="Times New Roman" w:hAnsi="Times New Roman"/>
          <w:b w:val="0"/>
          <w:i w:val="0"/>
          <w:sz w:val="24"/>
          <w:szCs w:val="24"/>
        </w:rPr>
        <w:t>1,8</w:t>
      </w:r>
      <w:r w:rsidR="006D2F8F" w:rsidRPr="00DF4865">
        <w:rPr>
          <w:rFonts w:ascii="Times New Roman" w:hAnsi="Times New Roman"/>
          <w:b w:val="0"/>
          <w:i w:val="0"/>
          <w:sz w:val="24"/>
          <w:szCs w:val="24"/>
        </w:rPr>
        <w:t xml:space="preserve"> mln zł, </w:t>
      </w:r>
    </w:p>
    <w:p w14:paraId="1CCE7450" w14:textId="2BE1089F" w:rsidR="00E171E3" w:rsidRPr="000E2482" w:rsidRDefault="000830D2" w:rsidP="00CF11C0">
      <w:pPr>
        <w:pStyle w:val="Tekstpodstawowy2"/>
        <w:numPr>
          <w:ilvl w:val="0"/>
          <w:numId w:val="4"/>
        </w:numPr>
        <w:tabs>
          <w:tab w:val="clear" w:pos="780"/>
        </w:tabs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E2482">
        <w:rPr>
          <w:rFonts w:ascii="Times New Roman" w:hAnsi="Times New Roman"/>
          <w:b w:val="0"/>
          <w:i w:val="0"/>
          <w:sz w:val="24"/>
          <w:szCs w:val="24"/>
        </w:rPr>
        <w:t>wypłaty</w:t>
      </w:r>
      <w:r w:rsidR="00E171E3" w:rsidRPr="000E2482">
        <w:rPr>
          <w:rFonts w:ascii="Times New Roman" w:hAnsi="Times New Roman"/>
          <w:b w:val="0"/>
          <w:i w:val="0"/>
          <w:sz w:val="24"/>
          <w:szCs w:val="24"/>
        </w:rPr>
        <w:t xml:space="preserve"> świadczeń społecznych</w:t>
      </w:r>
      <w:r w:rsidR="00AD7D72" w:rsidRPr="000E2482">
        <w:rPr>
          <w:rFonts w:ascii="Times New Roman" w:hAnsi="Times New Roman"/>
          <w:b w:val="0"/>
          <w:i w:val="0"/>
          <w:sz w:val="24"/>
          <w:szCs w:val="24"/>
        </w:rPr>
        <w:t xml:space="preserve"> (przede wszystkim z zakresu opieki </w:t>
      </w:r>
      <w:r w:rsidR="00BA0EE9" w:rsidRPr="000E2482">
        <w:rPr>
          <w:rFonts w:ascii="Times New Roman" w:hAnsi="Times New Roman"/>
          <w:b w:val="0"/>
          <w:i w:val="0"/>
          <w:sz w:val="24"/>
          <w:szCs w:val="24"/>
        </w:rPr>
        <w:t xml:space="preserve">społecznej) </w:t>
      </w:r>
      <w:r w:rsidR="00DE5A92" w:rsidRPr="000E2482">
        <w:rPr>
          <w:rFonts w:ascii="Times New Roman" w:hAnsi="Times New Roman"/>
          <w:b w:val="0"/>
          <w:i w:val="0"/>
          <w:sz w:val="24"/>
          <w:szCs w:val="24"/>
        </w:rPr>
        <w:t>–</w:t>
      </w:r>
      <w:r w:rsidR="00217EC3" w:rsidRPr="000E24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E2482" w:rsidRPr="000E2482">
        <w:rPr>
          <w:rFonts w:ascii="Times New Roman" w:hAnsi="Times New Roman"/>
          <w:b w:val="0"/>
          <w:i w:val="0"/>
          <w:sz w:val="24"/>
          <w:szCs w:val="24"/>
        </w:rPr>
        <w:t>0,9</w:t>
      </w:r>
      <w:r w:rsidR="00931BA6" w:rsidRPr="000E2482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</w:p>
    <w:p w14:paraId="32FF236B" w14:textId="049E82CD" w:rsidR="00931BA6" w:rsidRPr="0058008E" w:rsidRDefault="00217EC3" w:rsidP="00BD5ABB">
      <w:pPr>
        <w:pStyle w:val="Tekstpodstawowy2"/>
        <w:numPr>
          <w:ilvl w:val="0"/>
          <w:numId w:val="4"/>
        </w:numPr>
        <w:tabs>
          <w:tab w:val="clear" w:pos="780"/>
        </w:tabs>
        <w:ind w:left="426" w:hanging="426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  <w:r w:rsidRPr="000E2482">
        <w:rPr>
          <w:rFonts w:ascii="Times New Roman" w:hAnsi="Times New Roman"/>
          <w:b w:val="0"/>
          <w:i w:val="0"/>
          <w:sz w:val="24"/>
          <w:szCs w:val="24"/>
        </w:rPr>
        <w:t>zakup usług pozostałych -</w:t>
      </w:r>
      <w:r w:rsidR="000E2482" w:rsidRPr="000E2482">
        <w:rPr>
          <w:rFonts w:ascii="Times New Roman" w:hAnsi="Times New Roman"/>
          <w:b w:val="0"/>
          <w:i w:val="0"/>
          <w:sz w:val="24"/>
          <w:szCs w:val="24"/>
        </w:rPr>
        <w:t>13,0</w:t>
      </w:r>
      <w:r w:rsidR="00931BA6" w:rsidRPr="000E2482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663F09" w:rsidRPr="000E24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407022E7" w14:textId="32AAE0B6" w:rsidR="00295B74" w:rsidRPr="008A1A45" w:rsidRDefault="00295B74" w:rsidP="00A02661">
      <w:pPr>
        <w:pStyle w:val="Tekstpodstawowy2"/>
        <w:numPr>
          <w:ilvl w:val="0"/>
          <w:numId w:val="4"/>
        </w:numPr>
        <w:tabs>
          <w:tab w:val="clear" w:pos="780"/>
        </w:tabs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A1A45">
        <w:rPr>
          <w:rFonts w:ascii="Times New Roman" w:hAnsi="Times New Roman"/>
          <w:b w:val="0"/>
          <w:i w:val="0"/>
          <w:sz w:val="24"/>
          <w:szCs w:val="24"/>
        </w:rPr>
        <w:t xml:space="preserve">realizacja zadań z wykorzystaniem środków UE </w:t>
      </w:r>
      <w:r w:rsidR="008A1A45" w:rsidRPr="008A1A45">
        <w:rPr>
          <w:rFonts w:ascii="Times New Roman" w:hAnsi="Times New Roman"/>
          <w:b w:val="0"/>
          <w:i w:val="0"/>
          <w:sz w:val="24"/>
          <w:szCs w:val="24"/>
        </w:rPr>
        <w:t>0,9</w:t>
      </w:r>
      <w:r w:rsidRPr="008A1A45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AD7D72" w:rsidRPr="008A1A45">
        <w:rPr>
          <w:rFonts w:ascii="Times New Roman" w:hAnsi="Times New Roman"/>
          <w:b w:val="0"/>
          <w:i w:val="0"/>
          <w:sz w:val="24"/>
          <w:szCs w:val="24"/>
        </w:rPr>
        <w:t xml:space="preserve"> (przesunięcia</w:t>
      </w:r>
      <w:r w:rsidR="008A7D89" w:rsidRPr="008A1A4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D7D72" w:rsidRPr="008A1A45">
        <w:rPr>
          <w:rFonts w:ascii="Times New Roman" w:hAnsi="Times New Roman"/>
          <w:b w:val="0"/>
          <w:i w:val="0"/>
          <w:sz w:val="24"/>
          <w:szCs w:val="24"/>
        </w:rPr>
        <w:t>terminu bądź realiz</w:t>
      </w:r>
      <w:r w:rsidR="00BF2A86" w:rsidRPr="008A1A45">
        <w:rPr>
          <w:rFonts w:ascii="Times New Roman" w:hAnsi="Times New Roman"/>
          <w:b w:val="0"/>
          <w:i w:val="0"/>
          <w:sz w:val="24"/>
          <w:szCs w:val="24"/>
        </w:rPr>
        <w:t>acji</w:t>
      </w:r>
      <w:r w:rsidR="00AD7D72" w:rsidRPr="008A1A45">
        <w:rPr>
          <w:rFonts w:ascii="Times New Roman" w:hAnsi="Times New Roman"/>
          <w:b w:val="0"/>
          <w:i w:val="0"/>
          <w:sz w:val="24"/>
          <w:szCs w:val="24"/>
        </w:rPr>
        <w:t xml:space="preserve"> zadań)</w:t>
      </w:r>
      <w:r w:rsidR="008A1A45">
        <w:rPr>
          <w:rFonts w:ascii="Times New Roman" w:hAnsi="Times New Roman"/>
          <w:b w:val="0"/>
          <w:i w:val="0"/>
          <w:sz w:val="24"/>
          <w:szCs w:val="24"/>
        </w:rPr>
        <w:t>,</w:t>
      </w:r>
    </w:p>
    <w:p w14:paraId="4844E4F2" w14:textId="587EB334" w:rsidR="00E33FF7" w:rsidRPr="00DF4865" w:rsidRDefault="00E171E3" w:rsidP="008A7D89">
      <w:pPr>
        <w:pStyle w:val="Tekstpodstawowy2"/>
        <w:numPr>
          <w:ilvl w:val="0"/>
          <w:numId w:val="4"/>
        </w:numPr>
        <w:tabs>
          <w:tab w:val="clear" w:pos="780"/>
        </w:tabs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F4865">
        <w:rPr>
          <w:rFonts w:ascii="Times New Roman" w:hAnsi="Times New Roman"/>
          <w:b w:val="0"/>
          <w:i w:val="0"/>
          <w:sz w:val="24"/>
          <w:szCs w:val="24"/>
        </w:rPr>
        <w:t xml:space="preserve">zakup energii – </w:t>
      </w:r>
      <w:r w:rsidR="00197BDA" w:rsidRPr="00DF4865">
        <w:rPr>
          <w:rFonts w:ascii="Times New Roman" w:hAnsi="Times New Roman"/>
          <w:b w:val="0"/>
          <w:i w:val="0"/>
          <w:sz w:val="24"/>
          <w:szCs w:val="24"/>
        </w:rPr>
        <w:t xml:space="preserve">o </w:t>
      </w:r>
      <w:r w:rsidR="00A3757D" w:rsidRPr="00DF4865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AF777A" w:rsidRPr="00DF4865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DF4865" w:rsidRPr="00DF4865">
        <w:rPr>
          <w:rFonts w:ascii="Times New Roman" w:hAnsi="Times New Roman"/>
          <w:b w:val="0"/>
          <w:i w:val="0"/>
          <w:sz w:val="24"/>
          <w:szCs w:val="24"/>
        </w:rPr>
        <w:t>7</w:t>
      </w:r>
      <w:r w:rsidR="00E33FF7" w:rsidRPr="00DF4865">
        <w:rPr>
          <w:rFonts w:ascii="Times New Roman" w:hAnsi="Times New Roman"/>
          <w:b w:val="0"/>
          <w:i w:val="0"/>
          <w:sz w:val="24"/>
          <w:szCs w:val="24"/>
        </w:rPr>
        <w:t xml:space="preserve"> mln zł</w:t>
      </w:r>
      <w:r w:rsidR="00D61475" w:rsidRPr="00DF4865">
        <w:rPr>
          <w:rFonts w:ascii="Times New Roman" w:hAnsi="Times New Roman"/>
          <w:b w:val="0"/>
          <w:i w:val="0"/>
          <w:sz w:val="24"/>
          <w:szCs w:val="24"/>
        </w:rPr>
        <w:t xml:space="preserve">; to efekt </w:t>
      </w:r>
      <w:r w:rsidR="00C50CE0" w:rsidRPr="00DF4865">
        <w:rPr>
          <w:rFonts w:ascii="Times New Roman" w:hAnsi="Times New Roman"/>
          <w:b w:val="0"/>
          <w:i w:val="0"/>
          <w:sz w:val="24"/>
          <w:szCs w:val="24"/>
        </w:rPr>
        <w:t xml:space="preserve">m.in. </w:t>
      </w:r>
      <w:r w:rsidR="00D61475" w:rsidRPr="00DF4865">
        <w:rPr>
          <w:rFonts w:ascii="Times New Roman" w:hAnsi="Times New Roman"/>
          <w:b w:val="0"/>
          <w:i w:val="0"/>
          <w:sz w:val="24"/>
          <w:szCs w:val="24"/>
        </w:rPr>
        <w:t>przeprowadzonej termomodernizacji w budynkach</w:t>
      </w:r>
      <w:r w:rsidR="00DF4865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D61475" w:rsidRPr="00DF486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160FF667" w14:textId="77777777" w:rsidR="00D102C7" w:rsidRPr="0058008E" w:rsidRDefault="005F6FA5" w:rsidP="008C538B">
      <w:pPr>
        <w:pStyle w:val="Tekstpodstawowy2"/>
        <w:ind w:left="780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  <w:szCs w:val="24"/>
        </w:rPr>
        <w:t xml:space="preserve"> </w:t>
      </w:r>
    </w:p>
    <w:p w14:paraId="46E17FA1" w14:textId="123B8BDC" w:rsidR="00F749B7" w:rsidRPr="0058008E" w:rsidRDefault="00F876E3" w:rsidP="00F749B7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sz w:val="24"/>
          <w:szCs w:val="24"/>
        </w:rPr>
        <w:t>Wydatki bieżące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zrealizowane zostały w </w:t>
      </w:r>
      <w:r w:rsidR="00464EA7" w:rsidRPr="0058008E">
        <w:rPr>
          <w:rFonts w:ascii="Times New Roman" w:hAnsi="Times New Roman"/>
          <w:b w:val="0"/>
          <w:i w:val="0"/>
          <w:sz w:val="24"/>
          <w:szCs w:val="24"/>
        </w:rPr>
        <w:t>9</w:t>
      </w:r>
      <w:r w:rsidR="0043180B" w:rsidRPr="0058008E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464EA7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43180B" w:rsidRPr="0058008E">
        <w:rPr>
          <w:rFonts w:ascii="Times New Roman" w:hAnsi="Times New Roman"/>
          <w:b w:val="0"/>
          <w:i w:val="0"/>
          <w:sz w:val="24"/>
          <w:szCs w:val="24"/>
        </w:rPr>
        <w:t>66</w:t>
      </w:r>
      <w:r w:rsidR="00464EA7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3801E4"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43180B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3801E4" w:rsidRPr="0058008E">
        <w:rPr>
          <w:rFonts w:ascii="Times New Roman" w:hAnsi="Times New Roman"/>
          <w:b w:val="0"/>
          <w:i w:val="0"/>
          <w:sz w:val="24"/>
          <w:szCs w:val="24"/>
        </w:rPr>
        <w:t>Ich niepełne wykonanie n</w:t>
      </w:r>
      <w:r w:rsidR="003801E4" w:rsidRPr="0058008E">
        <w:rPr>
          <w:rFonts w:ascii="Times New Roman" w:hAnsi="Times New Roman"/>
          <w:b w:val="0"/>
          <w:i w:val="0"/>
          <w:sz w:val="24"/>
        </w:rPr>
        <w:t>ie miało</w:t>
      </w:r>
      <w:r w:rsidRPr="0058008E">
        <w:rPr>
          <w:rFonts w:ascii="Times New Roman" w:hAnsi="Times New Roman"/>
          <w:b w:val="0"/>
          <w:i w:val="0"/>
          <w:sz w:val="24"/>
        </w:rPr>
        <w:t xml:space="preserve"> wpływu na </w:t>
      </w:r>
      <w:r w:rsidR="00915957" w:rsidRPr="0058008E">
        <w:rPr>
          <w:rFonts w:ascii="Times New Roman" w:hAnsi="Times New Roman"/>
          <w:b w:val="0"/>
          <w:i w:val="0"/>
          <w:sz w:val="24"/>
        </w:rPr>
        <w:t>przebieg realizacji przyjętych do wykonania zadań</w:t>
      </w:r>
      <w:r w:rsidR="00F749B7" w:rsidRPr="0058008E">
        <w:rPr>
          <w:rFonts w:ascii="Times New Roman" w:hAnsi="Times New Roman"/>
          <w:b w:val="0"/>
          <w:i w:val="0"/>
          <w:sz w:val="24"/>
        </w:rPr>
        <w:t>,</w:t>
      </w:r>
      <w:r w:rsidR="0001378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nie spowodowało także ograniczenia ich zakresu rzeczowego</w:t>
      </w:r>
      <w:r w:rsidR="00915957" w:rsidRPr="0058008E">
        <w:rPr>
          <w:rFonts w:ascii="Times New Roman" w:hAnsi="Times New Roman"/>
          <w:b w:val="0"/>
          <w:i w:val="0"/>
          <w:sz w:val="24"/>
        </w:rPr>
        <w:t>.</w:t>
      </w:r>
      <w:r w:rsidR="00C50CE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E4E91" w:rsidRPr="0058008E">
        <w:rPr>
          <w:rFonts w:ascii="Times New Roman" w:hAnsi="Times New Roman"/>
          <w:b w:val="0"/>
          <w:i w:val="0"/>
          <w:sz w:val="24"/>
          <w:szCs w:val="24"/>
        </w:rPr>
        <w:t>Wydatki b</w:t>
      </w:r>
      <w:r w:rsidR="005B43F5" w:rsidRPr="0058008E">
        <w:rPr>
          <w:rFonts w:ascii="Times New Roman" w:hAnsi="Times New Roman"/>
          <w:b w:val="0"/>
          <w:i w:val="0"/>
          <w:sz w:val="24"/>
          <w:szCs w:val="24"/>
        </w:rPr>
        <w:t>yły dokonyw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>ane w sposób celow</w:t>
      </w:r>
      <w:r w:rsidR="00C50CE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y </w:t>
      </w:r>
      <w:r w:rsidR="005B43F5" w:rsidRPr="0058008E">
        <w:rPr>
          <w:rFonts w:ascii="Times New Roman" w:hAnsi="Times New Roman"/>
          <w:b w:val="0"/>
          <w:i w:val="0"/>
          <w:sz w:val="24"/>
          <w:szCs w:val="24"/>
        </w:rPr>
        <w:t>i oszc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>zędny</w:t>
      </w:r>
      <w:r w:rsidR="00C50CE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>z</w:t>
      </w:r>
      <w:r w:rsidR="00C50CE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>jednoczesnym uzyskaniem</w:t>
      </w:r>
      <w:r w:rsidR="005B43F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E4E9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możliwie </w:t>
      </w:r>
      <w:r w:rsidR="005B43F5" w:rsidRPr="0058008E">
        <w:rPr>
          <w:rFonts w:ascii="Times New Roman" w:hAnsi="Times New Roman"/>
          <w:b w:val="0"/>
          <w:i w:val="0"/>
          <w:sz w:val="24"/>
          <w:szCs w:val="24"/>
        </w:rPr>
        <w:t>najlepszych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efektów</w:t>
      </w:r>
      <w:r w:rsidR="00C50CE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 xml:space="preserve">z </w:t>
      </w:r>
      <w:r w:rsidR="00C50CE0" w:rsidRPr="0058008E">
        <w:rPr>
          <w:rFonts w:ascii="Times New Roman" w:hAnsi="Times New Roman"/>
          <w:b w:val="0"/>
          <w:i w:val="0"/>
          <w:sz w:val="24"/>
          <w:szCs w:val="24"/>
        </w:rPr>
        <w:t>p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>oniesionych wydatków</w:t>
      </w:r>
      <w:r w:rsidR="005B43F5"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01378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Ponadto często 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 xml:space="preserve">przy </w:t>
      </w:r>
      <w:r w:rsidR="00EE4E91" w:rsidRPr="0058008E">
        <w:rPr>
          <w:rFonts w:ascii="Times New Roman" w:hAnsi="Times New Roman"/>
          <w:b w:val="0"/>
          <w:i w:val="0"/>
          <w:sz w:val="24"/>
          <w:szCs w:val="24"/>
        </w:rPr>
        <w:t>p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>lan</w:t>
      </w:r>
      <w:r w:rsidR="00EE4E91" w:rsidRPr="0058008E">
        <w:rPr>
          <w:rFonts w:ascii="Times New Roman" w:hAnsi="Times New Roman"/>
          <w:b w:val="0"/>
          <w:i w:val="0"/>
          <w:sz w:val="24"/>
          <w:szCs w:val="24"/>
        </w:rPr>
        <w:t>owaniu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13785" w:rsidRPr="0058008E">
        <w:rPr>
          <w:rFonts w:ascii="Times New Roman" w:hAnsi="Times New Roman"/>
          <w:b w:val="0"/>
          <w:i w:val="0"/>
          <w:sz w:val="24"/>
          <w:szCs w:val="24"/>
        </w:rPr>
        <w:t>stos</w:t>
      </w:r>
      <w:r w:rsidR="00C50CE0" w:rsidRPr="0058008E">
        <w:rPr>
          <w:rFonts w:ascii="Times New Roman" w:hAnsi="Times New Roman"/>
          <w:b w:val="0"/>
          <w:i w:val="0"/>
          <w:sz w:val="24"/>
          <w:szCs w:val="24"/>
        </w:rPr>
        <w:t>owano</w:t>
      </w:r>
      <w:r w:rsidR="0001378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zasadę przyjmowania w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>yższych założeń</w:t>
      </w:r>
      <w:r w:rsidR="00EE4E9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(rezerwa),</w:t>
      </w:r>
      <w:r w:rsidR="0001378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tak aby zabezpieczyć </w:t>
      </w:r>
      <w:r w:rsidR="00B41BF1" w:rsidRPr="0058008E">
        <w:rPr>
          <w:rFonts w:ascii="Times New Roman" w:hAnsi="Times New Roman"/>
          <w:b w:val="0"/>
          <w:i w:val="0"/>
          <w:sz w:val="24"/>
          <w:szCs w:val="24"/>
        </w:rPr>
        <w:t>środki</w:t>
      </w:r>
      <w:r w:rsidR="0001378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41BF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na 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 xml:space="preserve">mogące wystąpić nieprzewidziane </w:t>
      </w:r>
      <w:r w:rsidR="00BA0EE9" w:rsidRPr="0058008E">
        <w:rPr>
          <w:rFonts w:ascii="Times New Roman" w:hAnsi="Times New Roman"/>
          <w:b w:val="0"/>
          <w:i w:val="0"/>
          <w:sz w:val="24"/>
          <w:szCs w:val="24"/>
        </w:rPr>
        <w:t>wydatki w</w:t>
      </w:r>
      <w:r w:rsidR="00B41BF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trakcie realizacji</w:t>
      </w:r>
      <w:r w:rsidR="00EE4E9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zadań</w:t>
      </w:r>
      <w:r w:rsidR="00013785"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8A7D89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tbl>
      <w:tblPr>
        <w:tblpPr w:leftFromText="141" w:rightFromText="141" w:vertAnchor="text" w:horzAnchor="margin" w:tblpXSpec="center" w:tblpY="712"/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751"/>
        <w:gridCol w:w="1168"/>
        <w:gridCol w:w="1751"/>
        <w:gridCol w:w="969"/>
        <w:gridCol w:w="1080"/>
      </w:tblGrid>
      <w:tr w:rsidR="00E23F16" w:rsidRPr="0058008E" w14:paraId="4DD1CE46" w14:textId="77777777" w:rsidTr="00335ECE">
        <w:trPr>
          <w:trHeight w:val="728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FACF9C" w14:textId="09C4A658" w:rsidR="00335197" w:rsidRPr="0058008E" w:rsidRDefault="00335197" w:rsidP="00335197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8E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4FB46D8" w14:textId="77777777" w:rsidR="00335197" w:rsidRPr="0058008E" w:rsidRDefault="00335197" w:rsidP="008A7D89">
            <w:pPr>
              <w:jc w:val="center"/>
              <w:rPr>
                <w:b/>
                <w:bCs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>Plan wydatków bieżących (po zmianach)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D9CEFE" w14:textId="77777777" w:rsidR="00335197" w:rsidRPr="0058008E" w:rsidRDefault="00335197" w:rsidP="00335197">
            <w:pPr>
              <w:jc w:val="center"/>
              <w:rPr>
                <w:b/>
                <w:bCs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>Roczne wykonanie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D04C" w14:textId="77777777" w:rsidR="00335197" w:rsidRPr="0058008E" w:rsidRDefault="00335197" w:rsidP="00335197">
            <w:pPr>
              <w:jc w:val="center"/>
              <w:rPr>
                <w:b/>
                <w:bCs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>%</w:t>
            </w:r>
            <w:r w:rsidRPr="0058008E">
              <w:rPr>
                <w:b/>
                <w:bCs/>
                <w:sz w:val="22"/>
                <w:szCs w:val="22"/>
              </w:rPr>
              <w:br/>
              <w:t xml:space="preserve"> wyk.</w:t>
            </w:r>
          </w:p>
        </w:tc>
      </w:tr>
      <w:tr w:rsidR="00E23F16" w:rsidRPr="0058008E" w14:paraId="58B8F2FE" w14:textId="77777777" w:rsidTr="00335ECE">
        <w:trPr>
          <w:trHeight w:val="7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32508" w14:textId="77777777" w:rsidR="00335197" w:rsidRPr="0058008E" w:rsidRDefault="00335197" w:rsidP="003351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4FF7" w14:textId="77777777" w:rsidR="00335197" w:rsidRPr="0058008E" w:rsidRDefault="00335197" w:rsidP="00335197">
            <w:pPr>
              <w:jc w:val="center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 xml:space="preserve">w zł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8914" w14:textId="77777777" w:rsidR="00335197" w:rsidRPr="0058008E" w:rsidRDefault="00335197" w:rsidP="00335197">
            <w:pPr>
              <w:jc w:val="center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% struktura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8FA6" w14:textId="77777777" w:rsidR="00335197" w:rsidRPr="0058008E" w:rsidRDefault="00335197" w:rsidP="00335197">
            <w:pPr>
              <w:jc w:val="center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 xml:space="preserve">w zł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7C70" w14:textId="77777777" w:rsidR="00335197" w:rsidRPr="0058008E" w:rsidRDefault="00335197" w:rsidP="00335197">
            <w:pPr>
              <w:jc w:val="center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% struktura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0CA2C" w14:textId="77777777" w:rsidR="00335197" w:rsidRPr="0058008E" w:rsidRDefault="00335197" w:rsidP="003351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056D" w:rsidRPr="0058008E" w14:paraId="5870AACD" w14:textId="77777777" w:rsidTr="00335ECE">
        <w:trPr>
          <w:trHeight w:val="29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E186" w14:textId="77777777" w:rsidR="00335197" w:rsidRPr="0058008E" w:rsidRDefault="00335197" w:rsidP="00335197">
            <w:pPr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 xml:space="preserve">wynagrodzenia i pochodne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B70F" w14:textId="313606ED" w:rsidR="00335197" w:rsidRPr="0058008E" w:rsidRDefault="00E448E3" w:rsidP="00335197">
            <w:pPr>
              <w:jc w:val="right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218 294 161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8B12" w14:textId="589C62A9" w:rsidR="00335197" w:rsidRPr="0058008E" w:rsidRDefault="00E448E3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35,4</w:t>
            </w:r>
            <w:r w:rsidR="00F96D14" w:rsidRPr="0058008E">
              <w:rPr>
                <w:sz w:val="22"/>
                <w:szCs w:val="22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1C76" w14:textId="0591A5C7" w:rsidR="00335197" w:rsidRPr="0058008E" w:rsidRDefault="00E448E3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213 043 917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BC6C" w14:textId="0797A13F" w:rsidR="00335197" w:rsidRPr="0058008E" w:rsidRDefault="00E448E3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38,51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681B" w14:textId="42E0F907" w:rsidR="00335197" w:rsidRPr="0058008E" w:rsidRDefault="00335197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97,5</w:t>
            </w:r>
            <w:r w:rsidR="00E448E3" w:rsidRPr="0058008E">
              <w:rPr>
                <w:sz w:val="22"/>
                <w:szCs w:val="22"/>
              </w:rPr>
              <w:t>9</w:t>
            </w:r>
          </w:p>
        </w:tc>
      </w:tr>
      <w:tr w:rsidR="003A056D" w:rsidRPr="0058008E" w14:paraId="2F844A9D" w14:textId="77777777" w:rsidTr="00335ECE">
        <w:trPr>
          <w:trHeight w:val="29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4FE3" w14:textId="77777777" w:rsidR="00335197" w:rsidRPr="0058008E" w:rsidRDefault="00335197" w:rsidP="00335197">
            <w:pPr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 xml:space="preserve">dotacje z budżetu miasta 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BA5D" w14:textId="15CF49F9" w:rsidR="00335197" w:rsidRPr="0058008E" w:rsidRDefault="00E448E3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86 344 639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6837" w14:textId="755B6921" w:rsidR="00335197" w:rsidRPr="0058008E" w:rsidRDefault="00E448E3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14,02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C512" w14:textId="16724B0A" w:rsidR="00335197" w:rsidRPr="0058008E" w:rsidRDefault="00E448E3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84 914 665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1B22" w14:textId="393DC77E" w:rsidR="00335197" w:rsidRPr="0058008E" w:rsidRDefault="00335197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15,</w:t>
            </w:r>
            <w:r w:rsidR="00E448E3" w:rsidRPr="0058008E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BECC" w14:textId="3E7084C1" w:rsidR="00335197" w:rsidRPr="0058008E" w:rsidRDefault="00E448E3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98,34</w:t>
            </w:r>
          </w:p>
        </w:tc>
      </w:tr>
      <w:tr w:rsidR="003A056D" w:rsidRPr="0058008E" w14:paraId="1770C4E4" w14:textId="77777777" w:rsidTr="00335ECE">
        <w:trPr>
          <w:trHeight w:val="29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2CD9" w14:textId="77777777" w:rsidR="00335197" w:rsidRPr="0058008E" w:rsidRDefault="00335197" w:rsidP="00335197">
            <w:pPr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zakup usług pozostałych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4313" w14:textId="6F56137E" w:rsidR="00335197" w:rsidRPr="0058008E" w:rsidRDefault="00A26E10" w:rsidP="00335197">
            <w:pPr>
              <w:jc w:val="right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101 743 992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D2E5" w14:textId="0E6F8DD5" w:rsidR="00335197" w:rsidRPr="0058008E" w:rsidRDefault="00A26E10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16,52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79DE" w14:textId="5D431733" w:rsidR="00335197" w:rsidRPr="0058008E" w:rsidRDefault="00A26E10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88 767 890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ED33" w14:textId="1E98993D" w:rsidR="00335197" w:rsidRPr="0058008E" w:rsidRDefault="0099405A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16,05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962A" w14:textId="228E078C" w:rsidR="00335197" w:rsidRPr="0058008E" w:rsidRDefault="00A26E10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87,25</w:t>
            </w:r>
          </w:p>
        </w:tc>
      </w:tr>
      <w:tr w:rsidR="003A056D" w:rsidRPr="0058008E" w14:paraId="48C96A16" w14:textId="77777777" w:rsidTr="00335ECE">
        <w:trPr>
          <w:trHeight w:val="29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2D94" w14:textId="77777777" w:rsidR="00335197" w:rsidRPr="0058008E" w:rsidRDefault="00335197" w:rsidP="00335197">
            <w:pPr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zakup usług remontowych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5CEF" w14:textId="51286605" w:rsidR="00335197" w:rsidRPr="0058008E" w:rsidRDefault="00335197" w:rsidP="00335197">
            <w:pPr>
              <w:jc w:val="right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15</w:t>
            </w:r>
            <w:r w:rsidR="00BD501B" w:rsidRPr="0058008E">
              <w:rPr>
                <w:sz w:val="22"/>
                <w:szCs w:val="22"/>
              </w:rPr>
              <w:t> 131 173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1252" w14:textId="5A38F7F5" w:rsidR="00335197" w:rsidRPr="0058008E" w:rsidRDefault="00BD501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2,46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90EF" w14:textId="274ED30C" w:rsidR="00335197" w:rsidRPr="0058008E" w:rsidRDefault="00BD501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13 366 794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DCB2" w14:textId="24FAF6A8" w:rsidR="00335197" w:rsidRPr="0058008E" w:rsidRDefault="00BD501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512A" w14:textId="4D8E4E9C" w:rsidR="00335197" w:rsidRPr="0058008E" w:rsidRDefault="00501004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88,34</w:t>
            </w:r>
          </w:p>
        </w:tc>
      </w:tr>
      <w:tr w:rsidR="003A056D" w:rsidRPr="0058008E" w14:paraId="648CB68A" w14:textId="77777777" w:rsidTr="00335ECE">
        <w:trPr>
          <w:trHeight w:val="29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9FD0" w14:textId="77777777" w:rsidR="00335197" w:rsidRPr="0058008E" w:rsidRDefault="00335197" w:rsidP="00335197">
            <w:pPr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 xml:space="preserve">świadczenia społeczne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D5E4" w14:textId="057D7BB5" w:rsidR="00335197" w:rsidRPr="0058008E" w:rsidRDefault="00DD288F" w:rsidP="00335197">
            <w:pPr>
              <w:jc w:val="right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24 455 520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51E2" w14:textId="68BC4EBC" w:rsidR="00335197" w:rsidRPr="0058008E" w:rsidRDefault="00BD501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3,97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44EF" w14:textId="6E44BF04" w:rsidR="00335197" w:rsidRPr="0058008E" w:rsidRDefault="00DD288F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23 573 449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6C26" w14:textId="706FCD5F" w:rsidR="00335197" w:rsidRPr="0058008E" w:rsidRDefault="00BD501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4,26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DA3A" w14:textId="72DA5E62" w:rsidR="00335197" w:rsidRPr="0058008E" w:rsidRDefault="00DD288F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96,39</w:t>
            </w:r>
          </w:p>
        </w:tc>
      </w:tr>
      <w:tr w:rsidR="003A056D" w:rsidRPr="0058008E" w14:paraId="6113290E" w14:textId="77777777" w:rsidTr="00335ECE">
        <w:trPr>
          <w:trHeight w:val="29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B350" w14:textId="77777777" w:rsidR="00335197" w:rsidRPr="0058008E" w:rsidRDefault="00335197" w:rsidP="00335197">
            <w:pPr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zakup energii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BC1D" w14:textId="66D9BA8C" w:rsidR="00335197" w:rsidRPr="0058008E" w:rsidRDefault="0032531A" w:rsidP="00335197">
            <w:pPr>
              <w:jc w:val="right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18 239 949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52EA" w14:textId="0ACFFBF8" w:rsidR="00335197" w:rsidRPr="0058008E" w:rsidRDefault="0032531A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2,96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C58F" w14:textId="3B7DBEA3" w:rsidR="00335197" w:rsidRPr="0058008E" w:rsidRDefault="0032531A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16 501 890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BDAA" w14:textId="6E944213" w:rsidR="00335197" w:rsidRPr="0058008E" w:rsidRDefault="0032531A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2,98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FDDF" w14:textId="5FD2AAB8" w:rsidR="00335197" w:rsidRPr="0058008E" w:rsidRDefault="0032531A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90,47</w:t>
            </w:r>
          </w:p>
        </w:tc>
      </w:tr>
      <w:tr w:rsidR="003A056D" w:rsidRPr="0058008E" w14:paraId="4EBDFB36" w14:textId="77777777" w:rsidTr="00335ECE">
        <w:trPr>
          <w:trHeight w:val="197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DE25" w14:textId="77777777" w:rsidR="00335197" w:rsidRPr="0058008E" w:rsidRDefault="00335197" w:rsidP="00335197">
            <w:pPr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środki z budżetu UE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060A" w14:textId="5EDB0E84" w:rsidR="00335197" w:rsidRPr="0058008E" w:rsidRDefault="002D31AB" w:rsidP="00335197">
            <w:pPr>
              <w:jc w:val="right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9 261 753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63E1" w14:textId="2B14EA7D" w:rsidR="00335197" w:rsidRPr="0058008E" w:rsidRDefault="002D31A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1,50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9C10" w14:textId="71448E4F" w:rsidR="00335197" w:rsidRPr="0058008E" w:rsidRDefault="002D31A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7 089 398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C5D0" w14:textId="2F6D6402" w:rsidR="00335197" w:rsidRPr="0058008E" w:rsidRDefault="002D31A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98A7" w14:textId="64240235" w:rsidR="00335197" w:rsidRPr="0058008E" w:rsidRDefault="002D31AB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76,54</w:t>
            </w:r>
          </w:p>
        </w:tc>
      </w:tr>
      <w:tr w:rsidR="003A056D" w:rsidRPr="0058008E" w14:paraId="2C452DE6" w14:textId="77777777" w:rsidTr="00335ECE">
        <w:trPr>
          <w:trHeight w:val="29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777" w14:textId="77777777" w:rsidR="00335197" w:rsidRPr="0058008E" w:rsidRDefault="00335197" w:rsidP="00335197">
            <w:pPr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pozostałe wydatki bieżące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1528" w14:textId="2CEF33F9" w:rsidR="00335197" w:rsidRPr="0058008E" w:rsidRDefault="00F96D14" w:rsidP="00335197">
            <w:pPr>
              <w:jc w:val="right"/>
              <w:rPr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142 560 084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9313" w14:textId="0700D516" w:rsidR="00335197" w:rsidRPr="0058008E" w:rsidRDefault="00F96D14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23,14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F6D3" w14:textId="30E32A64" w:rsidR="00335197" w:rsidRPr="0058008E" w:rsidRDefault="00F96D14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105 967 797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DBF5" w14:textId="10A87E87" w:rsidR="00335197" w:rsidRPr="0058008E" w:rsidRDefault="00F96D14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19,15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4802" w14:textId="74F7F140" w:rsidR="00335197" w:rsidRPr="0058008E" w:rsidRDefault="00F96D14" w:rsidP="00335197">
            <w:pPr>
              <w:jc w:val="right"/>
              <w:rPr>
                <w:color w:val="EE0000"/>
                <w:sz w:val="22"/>
                <w:szCs w:val="22"/>
              </w:rPr>
            </w:pPr>
            <w:r w:rsidRPr="0058008E">
              <w:rPr>
                <w:sz w:val="22"/>
                <w:szCs w:val="22"/>
              </w:rPr>
              <w:t>74,33</w:t>
            </w:r>
          </w:p>
        </w:tc>
      </w:tr>
      <w:tr w:rsidR="003A056D" w:rsidRPr="0058008E" w14:paraId="104CB333" w14:textId="77777777" w:rsidTr="00335ECE">
        <w:trPr>
          <w:trHeight w:val="29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9ABB" w14:textId="77777777" w:rsidR="00335197" w:rsidRPr="0058008E" w:rsidRDefault="00335197" w:rsidP="00335197">
            <w:pPr>
              <w:rPr>
                <w:b/>
                <w:bCs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 xml:space="preserve">OGÓŁEM WYDATKI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F164" w14:textId="01A2A695" w:rsidR="00335197" w:rsidRPr="0058008E" w:rsidRDefault="00E448E3" w:rsidP="00335197">
            <w:pPr>
              <w:jc w:val="right"/>
              <w:rPr>
                <w:b/>
                <w:bCs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>616 031 271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741A" w14:textId="77777777" w:rsidR="00335197" w:rsidRPr="0058008E" w:rsidRDefault="00335197" w:rsidP="00335197">
            <w:pPr>
              <w:jc w:val="right"/>
              <w:rPr>
                <w:b/>
                <w:bCs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DD12" w14:textId="01E897EF" w:rsidR="00335197" w:rsidRPr="0058008E" w:rsidRDefault="00E448E3" w:rsidP="00335197">
            <w:pPr>
              <w:jc w:val="right"/>
              <w:rPr>
                <w:b/>
                <w:bCs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>553 225 800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A3EE" w14:textId="77777777" w:rsidR="00335197" w:rsidRPr="0058008E" w:rsidRDefault="00335197" w:rsidP="00335197">
            <w:pPr>
              <w:jc w:val="right"/>
              <w:rPr>
                <w:b/>
                <w:bCs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9145" w14:textId="3A6FF4EF" w:rsidR="00335197" w:rsidRPr="0058008E" w:rsidRDefault="00E448E3" w:rsidP="00335197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58008E">
              <w:rPr>
                <w:b/>
                <w:bCs/>
                <w:sz w:val="22"/>
                <w:szCs w:val="22"/>
              </w:rPr>
              <w:t>89,80</w:t>
            </w:r>
          </w:p>
        </w:tc>
      </w:tr>
    </w:tbl>
    <w:p w14:paraId="132F3C98" w14:textId="77777777" w:rsidR="0032531A" w:rsidRPr="0058008E" w:rsidRDefault="0032531A" w:rsidP="008A7D89">
      <w:pPr>
        <w:pStyle w:val="Tekstpodstawowy2"/>
        <w:ind w:left="7787" w:firstLine="709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33C154EC" w14:textId="2FEC3162" w:rsidR="008A7D89" w:rsidRPr="0058008E" w:rsidRDefault="008A7D89" w:rsidP="008A7D89">
      <w:pPr>
        <w:pStyle w:val="Tekstpodstawowy2"/>
        <w:ind w:left="7787"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Tab. VII</w:t>
      </w:r>
    </w:p>
    <w:p w14:paraId="3CDC0395" w14:textId="77777777" w:rsidR="0043180B" w:rsidRPr="0058008E" w:rsidRDefault="00335197" w:rsidP="00EE01AD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</w:p>
    <w:p w14:paraId="59345D03" w14:textId="1944762A" w:rsidR="00B965DF" w:rsidRPr="0058008E" w:rsidRDefault="002E313D" w:rsidP="00EE01AD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lastRenderedPageBreak/>
        <w:t>Wszystkie obligatoryjne zadania</w:t>
      </w:r>
      <w:r w:rsidR="00915957" w:rsidRPr="0058008E">
        <w:rPr>
          <w:rFonts w:ascii="Times New Roman" w:hAnsi="Times New Roman"/>
          <w:b w:val="0"/>
          <w:i w:val="0"/>
          <w:sz w:val="24"/>
        </w:rPr>
        <w:t>, do których zalicza się przede wszystkim</w:t>
      </w:r>
      <w:r w:rsidR="00CD1C42" w:rsidRPr="0058008E">
        <w:rPr>
          <w:rFonts w:ascii="Times New Roman" w:hAnsi="Times New Roman"/>
          <w:b w:val="0"/>
          <w:i w:val="0"/>
          <w:sz w:val="24"/>
        </w:rPr>
        <w:t>:</w:t>
      </w:r>
      <w:r w:rsidR="00F876E3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B47946" w:rsidRPr="0058008E">
        <w:rPr>
          <w:rFonts w:ascii="Times New Roman" w:hAnsi="Times New Roman"/>
          <w:b w:val="0"/>
          <w:i w:val="0"/>
          <w:sz w:val="24"/>
        </w:rPr>
        <w:t xml:space="preserve">spłaty zadłużenia i </w:t>
      </w:r>
      <w:r w:rsidR="00F876E3" w:rsidRPr="0058008E">
        <w:rPr>
          <w:rFonts w:ascii="Times New Roman" w:hAnsi="Times New Roman"/>
          <w:b w:val="0"/>
          <w:i w:val="0"/>
          <w:sz w:val="24"/>
        </w:rPr>
        <w:t>koszty obsługi długu, wypłat</w:t>
      </w:r>
      <w:r w:rsidR="00CD1C42" w:rsidRPr="0058008E">
        <w:rPr>
          <w:rFonts w:ascii="Times New Roman" w:hAnsi="Times New Roman"/>
          <w:b w:val="0"/>
          <w:i w:val="0"/>
          <w:sz w:val="24"/>
        </w:rPr>
        <w:t>ę</w:t>
      </w:r>
      <w:r w:rsidR="00F876E3" w:rsidRPr="0058008E">
        <w:rPr>
          <w:rFonts w:ascii="Times New Roman" w:hAnsi="Times New Roman"/>
          <w:b w:val="0"/>
          <w:i w:val="0"/>
          <w:sz w:val="24"/>
        </w:rPr>
        <w:t xml:space="preserve"> wynagrodzeń </w:t>
      </w:r>
      <w:r w:rsidR="0043180B" w:rsidRPr="0058008E">
        <w:rPr>
          <w:rFonts w:ascii="Times New Roman" w:hAnsi="Times New Roman"/>
          <w:b w:val="0"/>
          <w:i w:val="0"/>
          <w:sz w:val="24"/>
        </w:rPr>
        <w:t xml:space="preserve">pracownikom </w:t>
      </w:r>
      <w:r w:rsidR="00F876E3" w:rsidRPr="0058008E">
        <w:rPr>
          <w:rFonts w:ascii="Times New Roman" w:hAnsi="Times New Roman"/>
          <w:b w:val="0"/>
          <w:i w:val="0"/>
          <w:sz w:val="24"/>
        </w:rPr>
        <w:t>i odprowadz</w:t>
      </w:r>
      <w:r w:rsidR="00CD1C42" w:rsidRPr="0058008E">
        <w:rPr>
          <w:rFonts w:ascii="Times New Roman" w:hAnsi="Times New Roman"/>
          <w:b w:val="0"/>
          <w:i w:val="0"/>
          <w:sz w:val="24"/>
        </w:rPr>
        <w:t>a</w:t>
      </w:r>
      <w:r w:rsidR="00915957" w:rsidRPr="0058008E">
        <w:rPr>
          <w:rFonts w:ascii="Times New Roman" w:hAnsi="Times New Roman"/>
          <w:b w:val="0"/>
          <w:i w:val="0"/>
          <w:sz w:val="24"/>
        </w:rPr>
        <w:t>nie po</w:t>
      </w:r>
      <w:r w:rsidR="007E76E5" w:rsidRPr="0058008E">
        <w:rPr>
          <w:rFonts w:ascii="Times New Roman" w:hAnsi="Times New Roman"/>
          <w:b w:val="0"/>
          <w:i w:val="0"/>
          <w:sz w:val="24"/>
        </w:rPr>
        <w:t>datków i składek</w:t>
      </w:r>
      <w:r w:rsidR="00915957" w:rsidRPr="0058008E">
        <w:rPr>
          <w:rFonts w:ascii="Times New Roman" w:hAnsi="Times New Roman"/>
          <w:b w:val="0"/>
          <w:i w:val="0"/>
          <w:sz w:val="24"/>
        </w:rPr>
        <w:t>, jak</w:t>
      </w:r>
      <w:r w:rsidR="00A32F7C" w:rsidRPr="0058008E">
        <w:rPr>
          <w:rFonts w:ascii="Times New Roman" w:hAnsi="Times New Roman"/>
          <w:b w:val="0"/>
          <w:i w:val="0"/>
          <w:sz w:val="24"/>
        </w:rPr>
        <w:t xml:space="preserve"> i</w:t>
      </w:r>
      <w:r w:rsidR="00F876E3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D1C42" w:rsidRPr="0058008E">
        <w:rPr>
          <w:rFonts w:ascii="Times New Roman" w:hAnsi="Times New Roman"/>
          <w:b w:val="0"/>
          <w:i w:val="0"/>
          <w:sz w:val="24"/>
        </w:rPr>
        <w:t xml:space="preserve">przekazywanie </w:t>
      </w:r>
      <w:r w:rsidR="00F876E3" w:rsidRPr="0058008E">
        <w:rPr>
          <w:rFonts w:ascii="Times New Roman" w:hAnsi="Times New Roman"/>
          <w:b w:val="0"/>
          <w:i w:val="0"/>
          <w:sz w:val="24"/>
        </w:rPr>
        <w:t>kwot dotacji przyznanych jednostkom podległym</w:t>
      </w:r>
      <w:r w:rsidR="007E76E5" w:rsidRPr="0058008E">
        <w:rPr>
          <w:rFonts w:ascii="Times New Roman" w:hAnsi="Times New Roman"/>
          <w:b w:val="0"/>
          <w:i w:val="0"/>
          <w:sz w:val="24"/>
        </w:rPr>
        <w:t>,</w:t>
      </w:r>
      <w:r w:rsidR="00915957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749B7" w:rsidRPr="0058008E">
        <w:rPr>
          <w:rFonts w:ascii="Times New Roman" w:hAnsi="Times New Roman"/>
          <w:b w:val="0"/>
          <w:i w:val="0"/>
          <w:sz w:val="24"/>
        </w:rPr>
        <w:t>zostały zrealizowane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15957" w:rsidRPr="0058008E">
        <w:rPr>
          <w:rFonts w:ascii="Times New Roman" w:hAnsi="Times New Roman"/>
          <w:b w:val="0"/>
          <w:i w:val="0"/>
          <w:sz w:val="24"/>
        </w:rPr>
        <w:t>zgodnie z przyjętymi założeniami.</w:t>
      </w:r>
    </w:p>
    <w:p w14:paraId="48E11EC5" w14:textId="77777777" w:rsidR="0073460D" w:rsidRPr="0058008E" w:rsidRDefault="0073460D" w:rsidP="00EE01AD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3C526994" w14:textId="10CEF7D7" w:rsidR="00C50CE0" w:rsidRPr="0058008E" w:rsidRDefault="00CD1C42" w:rsidP="00335197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Wykonanie wydatków bieżących z podziałem na podstawowe grupy wydatków przedstawiono w </w:t>
      </w:r>
      <w:r w:rsidR="00B965DF" w:rsidRPr="0058008E">
        <w:rPr>
          <w:rFonts w:ascii="Times New Roman" w:hAnsi="Times New Roman"/>
          <w:b w:val="0"/>
          <w:i w:val="0"/>
          <w:sz w:val="24"/>
        </w:rPr>
        <w:t>tabeli poniżej</w:t>
      </w:r>
      <w:r w:rsidR="007E72FE" w:rsidRPr="0058008E">
        <w:rPr>
          <w:rFonts w:ascii="Times New Roman" w:hAnsi="Times New Roman"/>
          <w:b w:val="0"/>
          <w:i w:val="0"/>
          <w:sz w:val="24"/>
        </w:rPr>
        <w:t>.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205E243B" w14:textId="77777777" w:rsidR="002A0A13" w:rsidRPr="0058008E" w:rsidRDefault="008E757C" w:rsidP="00F05FD1">
      <w:pPr>
        <w:pStyle w:val="Tekstpodstawowy2"/>
        <w:jc w:val="right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color w:val="EE0000"/>
        </w:rPr>
        <w:t xml:space="preserve"> </w:t>
      </w:r>
      <w:r w:rsidR="00412E4A" w:rsidRPr="0058008E">
        <w:rPr>
          <w:rFonts w:ascii="Times New Roman" w:hAnsi="Times New Roman"/>
          <w:b w:val="0"/>
          <w:i w:val="0"/>
          <w:sz w:val="24"/>
          <w:szCs w:val="24"/>
        </w:rPr>
        <w:t>Rys.</w:t>
      </w:r>
      <w:r w:rsidR="00C427E5" w:rsidRPr="0058008E">
        <w:rPr>
          <w:rFonts w:ascii="Times New Roman" w:hAnsi="Times New Roman"/>
          <w:b w:val="0"/>
          <w:i w:val="0"/>
          <w:sz w:val="24"/>
          <w:szCs w:val="24"/>
        </w:rPr>
        <w:t>7</w:t>
      </w:r>
    </w:p>
    <w:p w14:paraId="5161A59A" w14:textId="01D09800" w:rsidR="00F16C6D" w:rsidRPr="0058008E" w:rsidRDefault="00E0380D" w:rsidP="00E0380D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  <w:r w:rsidRPr="0058008E">
        <w:rPr>
          <w:rFonts w:ascii="Times New Roman" w:hAnsi="Times New Roman"/>
          <w:noProof/>
        </w:rPr>
        <w:drawing>
          <wp:inline distT="0" distB="0" distL="0" distR="0" wp14:anchorId="054BB50C" wp14:editId="5D9F15F2">
            <wp:extent cx="5505450" cy="2495550"/>
            <wp:effectExtent l="0" t="0" r="0" b="0"/>
            <wp:docPr id="10452844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9CEC8E2-C78A-5D11-95A9-860384C447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A1ADABD" w14:textId="2903CF8F" w:rsidR="0040272F" w:rsidRPr="0058008E" w:rsidRDefault="0040272F" w:rsidP="00A32F7C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</w:p>
    <w:p w14:paraId="19CF48FA" w14:textId="77777777" w:rsidR="00334992" w:rsidRPr="0058008E" w:rsidRDefault="00334992" w:rsidP="00EA441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63465DAC" w14:textId="2CA60F30" w:rsidR="00014EE4" w:rsidRPr="0058008E" w:rsidRDefault="00B47946" w:rsidP="00EA441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W</w:t>
      </w:r>
      <w:r w:rsidR="00014EE4" w:rsidRPr="0058008E">
        <w:rPr>
          <w:rFonts w:ascii="Times New Roman" w:hAnsi="Times New Roman"/>
          <w:b w:val="0"/>
          <w:i w:val="0"/>
          <w:sz w:val="24"/>
        </w:rPr>
        <w:t xml:space="preserve">spółfinansowanie z budżetu UE zadań bieżących (głównie z zakresu oświaty </w:t>
      </w:r>
      <w:r w:rsidR="005F3970" w:rsidRPr="0058008E">
        <w:rPr>
          <w:rFonts w:ascii="Times New Roman" w:hAnsi="Times New Roman"/>
          <w:b w:val="0"/>
          <w:i w:val="0"/>
          <w:sz w:val="24"/>
        </w:rPr>
        <w:br/>
      </w:r>
      <w:r w:rsidR="00014EE4" w:rsidRPr="0058008E">
        <w:rPr>
          <w:rFonts w:ascii="Times New Roman" w:hAnsi="Times New Roman"/>
          <w:b w:val="0"/>
          <w:i w:val="0"/>
          <w:sz w:val="24"/>
        </w:rPr>
        <w:t xml:space="preserve">i wychowania </w:t>
      </w:r>
      <w:r w:rsidR="00EE4E91" w:rsidRPr="0058008E">
        <w:rPr>
          <w:rFonts w:ascii="Times New Roman" w:hAnsi="Times New Roman"/>
          <w:b w:val="0"/>
          <w:i w:val="0"/>
          <w:sz w:val="24"/>
        </w:rPr>
        <w:t xml:space="preserve">oraz </w:t>
      </w:r>
      <w:r w:rsidR="00014EE4" w:rsidRPr="0058008E">
        <w:rPr>
          <w:rFonts w:ascii="Times New Roman" w:hAnsi="Times New Roman"/>
          <w:b w:val="0"/>
          <w:i w:val="0"/>
          <w:sz w:val="24"/>
        </w:rPr>
        <w:t xml:space="preserve">opieki społecznej) wyniosło </w:t>
      </w:r>
      <w:r w:rsidR="00E0380D" w:rsidRPr="0058008E">
        <w:rPr>
          <w:rFonts w:ascii="Times New Roman" w:hAnsi="Times New Roman"/>
          <w:b w:val="0"/>
          <w:i w:val="0"/>
          <w:sz w:val="24"/>
        </w:rPr>
        <w:t>7,1</w:t>
      </w:r>
      <w:r w:rsidR="0005159C" w:rsidRPr="0058008E">
        <w:rPr>
          <w:rFonts w:ascii="Times New Roman" w:hAnsi="Times New Roman"/>
          <w:b w:val="0"/>
          <w:i w:val="0"/>
          <w:sz w:val="24"/>
        </w:rPr>
        <w:t xml:space="preserve"> mln </w:t>
      </w:r>
      <w:r w:rsidR="000A3DA5" w:rsidRPr="0058008E">
        <w:rPr>
          <w:rFonts w:ascii="Times New Roman" w:hAnsi="Times New Roman"/>
          <w:b w:val="0"/>
          <w:i w:val="0"/>
          <w:sz w:val="24"/>
        </w:rPr>
        <w:t xml:space="preserve">zł </w:t>
      </w:r>
      <w:r w:rsidR="0002514D" w:rsidRPr="0058008E">
        <w:rPr>
          <w:rFonts w:ascii="Times New Roman" w:hAnsi="Times New Roman"/>
          <w:b w:val="0"/>
          <w:i w:val="0"/>
          <w:sz w:val="24"/>
        </w:rPr>
        <w:t xml:space="preserve">(w roku </w:t>
      </w:r>
      <w:r w:rsidR="00BA0EE9" w:rsidRPr="0058008E">
        <w:rPr>
          <w:rFonts w:ascii="Times New Roman" w:hAnsi="Times New Roman"/>
          <w:b w:val="0"/>
          <w:i w:val="0"/>
          <w:sz w:val="24"/>
        </w:rPr>
        <w:t>20</w:t>
      </w:r>
      <w:r w:rsidR="00C52A4E" w:rsidRPr="0058008E">
        <w:rPr>
          <w:rFonts w:ascii="Times New Roman" w:hAnsi="Times New Roman"/>
          <w:b w:val="0"/>
          <w:i w:val="0"/>
          <w:sz w:val="24"/>
        </w:rPr>
        <w:t>2</w:t>
      </w:r>
      <w:r w:rsidR="00E0380D" w:rsidRPr="0058008E">
        <w:rPr>
          <w:rFonts w:ascii="Times New Roman" w:hAnsi="Times New Roman"/>
          <w:b w:val="0"/>
          <w:i w:val="0"/>
          <w:sz w:val="24"/>
        </w:rPr>
        <w:t>4</w:t>
      </w:r>
      <w:r w:rsidR="00BA0EE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0380D" w:rsidRPr="0058008E">
        <w:rPr>
          <w:rFonts w:ascii="Times New Roman" w:hAnsi="Times New Roman"/>
          <w:b w:val="0"/>
          <w:i w:val="0"/>
          <w:sz w:val="24"/>
        </w:rPr>
        <w:t>0,6</w:t>
      </w:r>
      <w:r w:rsidR="00014EE4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2168BA" w:rsidRPr="0058008E">
        <w:rPr>
          <w:rFonts w:ascii="Times New Roman" w:hAnsi="Times New Roman"/>
          <w:b w:val="0"/>
          <w:i w:val="0"/>
          <w:sz w:val="24"/>
        </w:rPr>
        <w:t xml:space="preserve">, </w:t>
      </w:r>
      <w:r w:rsidR="005E367A" w:rsidRPr="0058008E">
        <w:rPr>
          <w:rFonts w:ascii="Times New Roman" w:hAnsi="Times New Roman"/>
          <w:b w:val="0"/>
          <w:i w:val="0"/>
          <w:sz w:val="24"/>
        </w:rPr>
        <w:br/>
      </w:r>
      <w:r w:rsidR="002168BA" w:rsidRPr="0058008E">
        <w:rPr>
          <w:rFonts w:ascii="Times New Roman" w:hAnsi="Times New Roman"/>
          <w:b w:val="0"/>
          <w:i w:val="0"/>
          <w:sz w:val="24"/>
        </w:rPr>
        <w:t>w roku 202</w:t>
      </w:r>
      <w:r w:rsidR="005E367A" w:rsidRPr="0058008E">
        <w:rPr>
          <w:rFonts w:ascii="Times New Roman" w:hAnsi="Times New Roman"/>
          <w:b w:val="0"/>
          <w:i w:val="0"/>
          <w:sz w:val="24"/>
        </w:rPr>
        <w:t>3</w:t>
      </w:r>
      <w:r w:rsidR="002168BA" w:rsidRPr="0058008E">
        <w:rPr>
          <w:rFonts w:ascii="Times New Roman" w:hAnsi="Times New Roman"/>
          <w:b w:val="0"/>
          <w:i w:val="0"/>
          <w:sz w:val="24"/>
        </w:rPr>
        <w:t xml:space="preserve"> 1</w:t>
      </w:r>
      <w:r w:rsidR="005E367A" w:rsidRPr="0058008E">
        <w:rPr>
          <w:rFonts w:ascii="Times New Roman" w:hAnsi="Times New Roman"/>
          <w:b w:val="0"/>
          <w:i w:val="0"/>
          <w:sz w:val="24"/>
        </w:rPr>
        <w:t>0,5</w:t>
      </w:r>
      <w:r w:rsidR="002168BA" w:rsidRPr="0058008E">
        <w:rPr>
          <w:rFonts w:ascii="Times New Roman" w:hAnsi="Times New Roman"/>
          <w:b w:val="0"/>
          <w:i w:val="0"/>
          <w:sz w:val="24"/>
        </w:rPr>
        <w:t xml:space="preserve"> ml</w:t>
      </w:r>
      <w:r w:rsidR="00444B9C" w:rsidRPr="0058008E">
        <w:rPr>
          <w:rFonts w:ascii="Times New Roman" w:hAnsi="Times New Roman"/>
          <w:b w:val="0"/>
          <w:i w:val="0"/>
          <w:sz w:val="24"/>
        </w:rPr>
        <w:t>n</w:t>
      </w:r>
      <w:r w:rsidR="002168BA" w:rsidRPr="0058008E">
        <w:rPr>
          <w:rFonts w:ascii="Times New Roman" w:hAnsi="Times New Roman"/>
          <w:b w:val="0"/>
          <w:i w:val="0"/>
          <w:sz w:val="24"/>
        </w:rPr>
        <w:t xml:space="preserve"> zł</w:t>
      </w:r>
      <w:r w:rsidR="00014EE4" w:rsidRPr="0058008E">
        <w:rPr>
          <w:rFonts w:ascii="Times New Roman" w:hAnsi="Times New Roman"/>
          <w:b w:val="0"/>
          <w:i w:val="0"/>
          <w:sz w:val="24"/>
        </w:rPr>
        <w:t>)</w:t>
      </w:r>
      <w:r w:rsidR="00660B7C" w:rsidRPr="0058008E">
        <w:rPr>
          <w:rFonts w:ascii="Times New Roman" w:hAnsi="Times New Roman"/>
          <w:b w:val="0"/>
          <w:i w:val="0"/>
          <w:sz w:val="24"/>
        </w:rPr>
        <w:t xml:space="preserve"> z których</w:t>
      </w:r>
      <w:r w:rsidR="00827B4D" w:rsidRPr="0058008E">
        <w:rPr>
          <w:rFonts w:ascii="Times New Roman" w:hAnsi="Times New Roman"/>
          <w:b w:val="0"/>
          <w:i w:val="0"/>
          <w:sz w:val="24"/>
          <w:vertAlign w:val="subscript"/>
        </w:rPr>
        <w:t xml:space="preserve"> </w:t>
      </w:r>
      <w:r w:rsidR="00001157" w:rsidRPr="0058008E">
        <w:rPr>
          <w:rFonts w:ascii="Times New Roman" w:hAnsi="Times New Roman"/>
          <w:b w:val="0"/>
          <w:i w:val="0"/>
          <w:sz w:val="24"/>
        </w:rPr>
        <w:t xml:space="preserve">opłacone </w:t>
      </w:r>
      <w:r w:rsidR="00D37D2A" w:rsidRPr="0058008E">
        <w:rPr>
          <w:rFonts w:ascii="Times New Roman" w:hAnsi="Times New Roman"/>
          <w:b w:val="0"/>
          <w:i w:val="0"/>
          <w:sz w:val="24"/>
        </w:rPr>
        <w:t>zostały: wynagrodzenia</w:t>
      </w:r>
      <w:r w:rsidR="0005159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001157" w:rsidRPr="0058008E">
        <w:rPr>
          <w:rFonts w:ascii="Times New Roman" w:hAnsi="Times New Roman"/>
          <w:b w:val="0"/>
          <w:i w:val="0"/>
          <w:sz w:val="24"/>
        </w:rPr>
        <w:t>(wraz</w:t>
      </w:r>
      <w:r w:rsidR="00A32F7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52A4E" w:rsidRPr="0058008E">
        <w:rPr>
          <w:rFonts w:ascii="Times New Roman" w:hAnsi="Times New Roman"/>
          <w:b w:val="0"/>
          <w:i w:val="0"/>
          <w:sz w:val="24"/>
        </w:rPr>
        <w:t>z pochodnymi</w:t>
      </w:r>
      <w:r w:rsidR="00001157" w:rsidRPr="0058008E">
        <w:rPr>
          <w:rFonts w:ascii="Times New Roman" w:hAnsi="Times New Roman"/>
          <w:b w:val="0"/>
          <w:i w:val="0"/>
          <w:sz w:val="24"/>
        </w:rPr>
        <w:t>) koordynatorów projektów</w:t>
      </w:r>
      <w:r w:rsidR="001940AD" w:rsidRPr="0058008E">
        <w:rPr>
          <w:rFonts w:ascii="Times New Roman" w:hAnsi="Times New Roman"/>
          <w:b w:val="0"/>
          <w:i w:val="0"/>
          <w:sz w:val="24"/>
        </w:rPr>
        <w:t>, koszty zakupu pomoc</w:t>
      </w:r>
      <w:r w:rsidR="00BA0EE9" w:rsidRPr="0058008E">
        <w:rPr>
          <w:rFonts w:ascii="Times New Roman" w:hAnsi="Times New Roman"/>
          <w:b w:val="0"/>
          <w:i w:val="0"/>
          <w:sz w:val="24"/>
        </w:rPr>
        <w:t>y</w:t>
      </w:r>
      <w:r w:rsidR="001940AD" w:rsidRPr="0058008E">
        <w:rPr>
          <w:rFonts w:ascii="Times New Roman" w:hAnsi="Times New Roman"/>
          <w:b w:val="0"/>
          <w:i w:val="0"/>
          <w:sz w:val="24"/>
        </w:rPr>
        <w:t xml:space="preserve"> dydaktyczn</w:t>
      </w:r>
      <w:r w:rsidR="00BA0EE9" w:rsidRPr="0058008E">
        <w:rPr>
          <w:rFonts w:ascii="Times New Roman" w:hAnsi="Times New Roman"/>
          <w:b w:val="0"/>
          <w:i w:val="0"/>
          <w:sz w:val="24"/>
        </w:rPr>
        <w:t>ych</w:t>
      </w:r>
      <w:r w:rsidR="001940AD" w:rsidRPr="0058008E">
        <w:rPr>
          <w:rFonts w:ascii="Times New Roman" w:hAnsi="Times New Roman"/>
          <w:b w:val="0"/>
          <w:i w:val="0"/>
          <w:sz w:val="24"/>
        </w:rPr>
        <w:t>, wymiany międzyszkolnej,</w:t>
      </w:r>
      <w:r w:rsidR="00001157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77369" w:rsidRPr="0058008E">
        <w:rPr>
          <w:rFonts w:ascii="Times New Roman" w:hAnsi="Times New Roman"/>
          <w:b w:val="0"/>
          <w:i w:val="0"/>
          <w:sz w:val="24"/>
        </w:rPr>
        <w:t>c</w:t>
      </w:r>
      <w:r w:rsidR="000A3DA5" w:rsidRPr="0058008E">
        <w:rPr>
          <w:rFonts w:ascii="Times New Roman" w:hAnsi="Times New Roman"/>
          <w:b w:val="0"/>
          <w:i w:val="0"/>
          <w:sz w:val="24"/>
        </w:rPr>
        <w:t xml:space="preserve">zy </w:t>
      </w:r>
      <w:r w:rsidR="00001157" w:rsidRPr="0058008E">
        <w:rPr>
          <w:rFonts w:ascii="Times New Roman" w:hAnsi="Times New Roman"/>
          <w:b w:val="0"/>
          <w:i w:val="0"/>
          <w:sz w:val="24"/>
        </w:rPr>
        <w:t>koszty materiałów promocyjnych</w:t>
      </w:r>
      <w:r w:rsidR="00350F84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1D848799" w14:textId="77777777" w:rsidR="0073460D" w:rsidRPr="0058008E" w:rsidRDefault="0073460D" w:rsidP="00EA441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0052B295" w14:textId="77777777" w:rsidR="0073460D" w:rsidRPr="0058008E" w:rsidRDefault="00915957" w:rsidP="00EE01AD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W </w:t>
      </w:r>
      <w:r w:rsidR="00EA12DB" w:rsidRPr="0058008E">
        <w:rPr>
          <w:rFonts w:ascii="Times New Roman" w:hAnsi="Times New Roman"/>
          <w:b w:val="0"/>
          <w:i w:val="0"/>
          <w:sz w:val="24"/>
          <w:szCs w:val="24"/>
        </w:rPr>
        <w:t>strukturze wydatków</w:t>
      </w:r>
      <w:r w:rsidR="00D764EB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bieżą</w:t>
      </w:r>
      <w:r w:rsidR="002E313D" w:rsidRPr="0058008E">
        <w:rPr>
          <w:rFonts w:ascii="Times New Roman" w:hAnsi="Times New Roman"/>
          <w:b w:val="0"/>
          <w:i w:val="0"/>
          <w:sz w:val="24"/>
          <w:szCs w:val="24"/>
        </w:rPr>
        <w:t>cych</w:t>
      </w:r>
      <w:r w:rsidR="007E76E5" w:rsidRPr="0058008E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EA12DB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udział poszczególnych grup rodzajowych pozostawał na zbliżonym poziomie </w:t>
      </w:r>
      <w:r w:rsidR="00B965DF" w:rsidRPr="0058008E">
        <w:rPr>
          <w:rFonts w:ascii="Times New Roman" w:hAnsi="Times New Roman"/>
          <w:b w:val="0"/>
          <w:i w:val="0"/>
          <w:sz w:val="24"/>
          <w:szCs w:val="24"/>
        </w:rPr>
        <w:t>w odniesieniu do</w:t>
      </w:r>
      <w:r w:rsidR="00A2755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A12DB" w:rsidRPr="0058008E">
        <w:rPr>
          <w:rFonts w:ascii="Times New Roman" w:hAnsi="Times New Roman"/>
          <w:b w:val="0"/>
          <w:i w:val="0"/>
          <w:sz w:val="24"/>
          <w:szCs w:val="24"/>
        </w:rPr>
        <w:t>roku poprzedniego</w:t>
      </w:r>
      <w:r w:rsidR="009D08A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14:paraId="7F99A1DE" w14:textId="77777777" w:rsidR="0073460D" w:rsidRPr="0058008E" w:rsidRDefault="0073460D" w:rsidP="00EE01AD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43E3B424" w14:textId="09DC0CA0" w:rsidR="00591BC3" w:rsidRPr="0058008E" w:rsidRDefault="00915957" w:rsidP="001F7DF7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Tradycyjnie n</w:t>
      </w:r>
      <w:r w:rsidR="008D04CB" w:rsidRPr="0058008E">
        <w:rPr>
          <w:rFonts w:ascii="Times New Roman" w:hAnsi="Times New Roman"/>
          <w:b w:val="0"/>
          <w:i w:val="0"/>
          <w:sz w:val="24"/>
          <w:szCs w:val="24"/>
        </w:rPr>
        <w:t>ajwiększą, bo przeszło</w:t>
      </w:r>
      <w:r w:rsidR="00350F84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3C54EC" w:rsidRPr="0058008E">
        <w:rPr>
          <w:rFonts w:ascii="Times New Roman" w:hAnsi="Times New Roman"/>
          <w:b w:val="0"/>
          <w:i w:val="0"/>
          <w:sz w:val="24"/>
          <w:szCs w:val="24"/>
          <w:vertAlign w:val="superscript"/>
        </w:rPr>
        <w:t>1</w:t>
      </w:r>
      <w:r w:rsidR="009D08A7" w:rsidRPr="0058008E">
        <w:rPr>
          <w:rFonts w:ascii="Times New Roman" w:hAnsi="Times New Roman"/>
          <w:b w:val="0"/>
          <w:i w:val="0"/>
          <w:sz w:val="24"/>
          <w:szCs w:val="24"/>
        </w:rPr>
        <w:t>/</w:t>
      </w:r>
      <w:r w:rsidR="008D04CB" w:rsidRPr="0058008E">
        <w:rPr>
          <w:rFonts w:ascii="Times New Roman" w:hAnsi="Times New Roman"/>
          <w:b w:val="0"/>
          <w:i w:val="0"/>
          <w:sz w:val="24"/>
          <w:szCs w:val="24"/>
          <w:vertAlign w:val="subscript"/>
        </w:rPr>
        <w:t>3</w:t>
      </w:r>
      <w:r w:rsidR="00A2755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część wydatków bieżących</w:t>
      </w:r>
      <w:r w:rsidR="00EA12DB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zaj</w:t>
      </w:r>
      <w:r w:rsidR="00935DB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mowały </w:t>
      </w:r>
      <w:r w:rsidR="00935DB5" w:rsidRPr="0058008E">
        <w:rPr>
          <w:rFonts w:ascii="Times New Roman" w:hAnsi="Times New Roman"/>
          <w:sz w:val="24"/>
          <w:szCs w:val="24"/>
          <w:u w:val="single"/>
        </w:rPr>
        <w:t>wynagr</w:t>
      </w:r>
      <w:r w:rsidR="00197895" w:rsidRPr="0058008E">
        <w:rPr>
          <w:rFonts w:ascii="Times New Roman" w:hAnsi="Times New Roman"/>
          <w:sz w:val="24"/>
          <w:szCs w:val="24"/>
          <w:u w:val="single"/>
        </w:rPr>
        <w:t>odzenia i pochodne</w:t>
      </w:r>
      <w:r w:rsidR="007513F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, z których </w:t>
      </w:r>
      <w:r w:rsidR="00E0380D" w:rsidRPr="0058008E">
        <w:rPr>
          <w:rFonts w:ascii="Times New Roman" w:hAnsi="Times New Roman"/>
          <w:b w:val="0"/>
          <w:i w:val="0"/>
          <w:sz w:val="24"/>
          <w:szCs w:val="24"/>
        </w:rPr>
        <w:t>38,51</w:t>
      </w:r>
      <w:r w:rsidR="003F19AB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935DB5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D08A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przekazanych zostało </w:t>
      </w:r>
      <w:r w:rsidR="00F1639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na pokrycie </w:t>
      </w:r>
      <w:r w:rsidR="009D08A7" w:rsidRPr="0058008E">
        <w:rPr>
          <w:rFonts w:ascii="Times New Roman" w:hAnsi="Times New Roman"/>
          <w:b w:val="0"/>
          <w:i w:val="0"/>
          <w:sz w:val="24"/>
          <w:szCs w:val="24"/>
        </w:rPr>
        <w:t>fundusz</w:t>
      </w:r>
      <w:r w:rsidR="004168A7" w:rsidRPr="0058008E">
        <w:rPr>
          <w:rFonts w:ascii="Times New Roman" w:hAnsi="Times New Roman"/>
          <w:b w:val="0"/>
          <w:i w:val="0"/>
          <w:sz w:val="24"/>
          <w:szCs w:val="24"/>
        </w:rPr>
        <w:t>u</w:t>
      </w:r>
      <w:r w:rsidR="009D08A7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płac nauczycieli</w:t>
      </w:r>
      <w:r w:rsidR="00A172E6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i innych pracowników </w:t>
      </w:r>
      <w:r w:rsidR="00473A1B" w:rsidRPr="0058008E">
        <w:rPr>
          <w:rFonts w:ascii="Times New Roman" w:hAnsi="Times New Roman"/>
          <w:b w:val="0"/>
          <w:i w:val="0"/>
          <w:sz w:val="24"/>
          <w:szCs w:val="24"/>
        </w:rPr>
        <w:t>oświaty</w:t>
      </w:r>
      <w:r w:rsidR="00615160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(w roku 20</w:t>
      </w:r>
      <w:r w:rsidR="00C52A4E" w:rsidRPr="0058008E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E0380D" w:rsidRPr="0058008E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2100FF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– </w:t>
      </w:r>
      <w:r w:rsidR="00E0380D" w:rsidRPr="0058008E">
        <w:rPr>
          <w:rFonts w:ascii="Times New Roman" w:hAnsi="Times New Roman"/>
          <w:b w:val="0"/>
          <w:i w:val="0"/>
          <w:sz w:val="24"/>
          <w:szCs w:val="24"/>
        </w:rPr>
        <w:t>40,32</w:t>
      </w:r>
      <w:r w:rsidR="00935DB5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774D4E" w:rsidRPr="0058008E">
        <w:rPr>
          <w:rFonts w:ascii="Times New Roman" w:hAnsi="Times New Roman"/>
          <w:b w:val="0"/>
          <w:i w:val="0"/>
          <w:sz w:val="24"/>
          <w:szCs w:val="24"/>
        </w:rPr>
        <w:t>,w roku 202</w:t>
      </w:r>
      <w:r w:rsidR="00E0380D" w:rsidRPr="0058008E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774D4E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– </w:t>
      </w:r>
      <w:r w:rsidR="00E0380D" w:rsidRPr="0058008E">
        <w:rPr>
          <w:rFonts w:ascii="Times New Roman" w:hAnsi="Times New Roman"/>
          <w:b w:val="0"/>
          <w:i w:val="0"/>
          <w:sz w:val="24"/>
          <w:szCs w:val="24"/>
        </w:rPr>
        <w:t>38,72</w:t>
      </w:r>
      <w:r w:rsidR="00F05FD1" w:rsidRPr="0058008E">
        <w:rPr>
          <w:rFonts w:ascii="Times New Roman" w:hAnsi="Times New Roman"/>
          <w:b w:val="0"/>
          <w:i w:val="0"/>
          <w:sz w:val="24"/>
          <w:szCs w:val="24"/>
        </w:rPr>
        <w:t>%</w:t>
      </w:r>
      <w:r w:rsidR="00935DB5" w:rsidRPr="0058008E">
        <w:rPr>
          <w:rFonts w:ascii="Times New Roman" w:hAnsi="Times New Roman"/>
          <w:b w:val="0"/>
          <w:i w:val="0"/>
          <w:sz w:val="24"/>
          <w:szCs w:val="24"/>
        </w:rPr>
        <w:t>).</w:t>
      </w:r>
      <w:r w:rsidR="0079468F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11829FEC" w14:textId="3D4ECA47" w:rsidR="00727B63" w:rsidRPr="0058008E" w:rsidRDefault="004B73CC" w:rsidP="00EE4E91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Kolejne</w:t>
      </w:r>
      <w:r w:rsidR="00727B63" w:rsidRPr="0058008E">
        <w:rPr>
          <w:rFonts w:ascii="Times New Roman" w:hAnsi="Times New Roman"/>
          <w:b w:val="0"/>
          <w:i w:val="0"/>
          <w:sz w:val="24"/>
        </w:rPr>
        <w:t xml:space="preserve"> miejsce (</w:t>
      </w:r>
      <w:r w:rsidR="001D0083" w:rsidRPr="0058008E">
        <w:rPr>
          <w:rFonts w:ascii="Times New Roman" w:hAnsi="Times New Roman"/>
          <w:b w:val="0"/>
          <w:i w:val="0"/>
          <w:sz w:val="24"/>
        </w:rPr>
        <w:t xml:space="preserve">przeszło </w:t>
      </w:r>
      <w:r w:rsidR="00727B63" w:rsidRPr="0058008E">
        <w:rPr>
          <w:rFonts w:ascii="Times New Roman" w:hAnsi="Times New Roman"/>
          <w:b w:val="0"/>
          <w:i w:val="0"/>
          <w:sz w:val="24"/>
          <w:vertAlign w:val="superscript"/>
        </w:rPr>
        <w:t>1</w:t>
      </w:r>
      <w:r w:rsidR="00727B63" w:rsidRPr="0058008E">
        <w:rPr>
          <w:rFonts w:ascii="Times New Roman" w:hAnsi="Times New Roman"/>
          <w:b w:val="0"/>
          <w:i w:val="0"/>
          <w:sz w:val="24"/>
        </w:rPr>
        <w:t>/</w:t>
      </w:r>
      <w:r w:rsidR="00F5293B" w:rsidRPr="0058008E">
        <w:rPr>
          <w:rFonts w:ascii="Times New Roman" w:hAnsi="Times New Roman"/>
          <w:b w:val="0"/>
          <w:i w:val="0"/>
          <w:sz w:val="24"/>
          <w:vertAlign w:val="subscript"/>
        </w:rPr>
        <w:t>7</w:t>
      </w:r>
      <w:r w:rsidR="00727B63" w:rsidRPr="0058008E">
        <w:rPr>
          <w:rFonts w:ascii="Times New Roman" w:hAnsi="Times New Roman"/>
          <w:b w:val="0"/>
          <w:i w:val="0"/>
          <w:sz w:val="24"/>
        </w:rPr>
        <w:t xml:space="preserve"> ogółu wydatków rzeczowych) z kwotą </w:t>
      </w:r>
      <w:r w:rsidR="00684B01" w:rsidRPr="0058008E">
        <w:rPr>
          <w:rFonts w:ascii="Times New Roman" w:hAnsi="Times New Roman"/>
          <w:b w:val="0"/>
          <w:i w:val="0"/>
          <w:sz w:val="24"/>
        </w:rPr>
        <w:t>8</w:t>
      </w:r>
      <w:r w:rsidR="009F53B4" w:rsidRPr="0058008E">
        <w:rPr>
          <w:rFonts w:ascii="Times New Roman" w:hAnsi="Times New Roman"/>
          <w:b w:val="0"/>
          <w:i w:val="0"/>
          <w:sz w:val="24"/>
        </w:rPr>
        <w:t>4</w:t>
      </w:r>
      <w:r w:rsidR="00615160" w:rsidRPr="0058008E">
        <w:rPr>
          <w:rFonts w:ascii="Times New Roman" w:hAnsi="Times New Roman"/>
          <w:b w:val="0"/>
          <w:i w:val="0"/>
          <w:sz w:val="24"/>
        </w:rPr>
        <w:t>,</w:t>
      </w:r>
      <w:r w:rsidR="00684B01" w:rsidRPr="0058008E">
        <w:rPr>
          <w:rFonts w:ascii="Times New Roman" w:hAnsi="Times New Roman"/>
          <w:b w:val="0"/>
          <w:i w:val="0"/>
          <w:sz w:val="24"/>
        </w:rPr>
        <w:t>9</w:t>
      </w:r>
      <w:r w:rsidR="001D0083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81641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5A3646" w:rsidRPr="0058008E">
        <w:rPr>
          <w:rFonts w:ascii="Times New Roman" w:hAnsi="Times New Roman"/>
          <w:b w:val="0"/>
          <w:i w:val="0"/>
          <w:sz w:val="24"/>
        </w:rPr>
        <w:t>(w</w:t>
      </w:r>
      <w:r w:rsidR="00A32F7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81641C" w:rsidRPr="0058008E">
        <w:rPr>
          <w:rFonts w:ascii="Times New Roman" w:hAnsi="Times New Roman"/>
          <w:b w:val="0"/>
          <w:i w:val="0"/>
          <w:sz w:val="24"/>
        </w:rPr>
        <w:t>20</w:t>
      </w:r>
      <w:r w:rsidR="00CD6424" w:rsidRPr="0058008E">
        <w:rPr>
          <w:rFonts w:ascii="Times New Roman" w:hAnsi="Times New Roman"/>
          <w:b w:val="0"/>
          <w:i w:val="0"/>
          <w:sz w:val="24"/>
        </w:rPr>
        <w:t>2</w:t>
      </w:r>
      <w:r w:rsidR="00684B01" w:rsidRPr="0058008E">
        <w:rPr>
          <w:rFonts w:ascii="Times New Roman" w:hAnsi="Times New Roman"/>
          <w:b w:val="0"/>
          <w:i w:val="0"/>
          <w:sz w:val="24"/>
        </w:rPr>
        <w:t>4</w:t>
      </w:r>
      <w:r w:rsidR="00727B63" w:rsidRPr="0058008E">
        <w:rPr>
          <w:rFonts w:ascii="Times New Roman" w:hAnsi="Times New Roman"/>
          <w:b w:val="0"/>
          <w:i w:val="0"/>
          <w:sz w:val="24"/>
        </w:rPr>
        <w:t xml:space="preserve"> roku – </w:t>
      </w:r>
      <w:r w:rsidR="00684B01" w:rsidRPr="0058008E">
        <w:rPr>
          <w:rFonts w:ascii="Times New Roman" w:hAnsi="Times New Roman"/>
          <w:b w:val="0"/>
          <w:i w:val="0"/>
          <w:sz w:val="24"/>
        </w:rPr>
        <w:t>74,4</w:t>
      </w:r>
      <w:r w:rsidR="00727B63" w:rsidRPr="0058008E">
        <w:rPr>
          <w:rFonts w:ascii="Times New Roman" w:hAnsi="Times New Roman"/>
          <w:b w:val="0"/>
          <w:i w:val="0"/>
          <w:sz w:val="24"/>
        </w:rPr>
        <w:t xml:space="preserve"> mln</w:t>
      </w:r>
      <w:r w:rsidR="005639AB" w:rsidRPr="0058008E">
        <w:rPr>
          <w:rFonts w:ascii="Times New Roman" w:hAnsi="Times New Roman"/>
          <w:b w:val="0"/>
          <w:i w:val="0"/>
          <w:sz w:val="24"/>
        </w:rPr>
        <w:t xml:space="preserve"> zł, w 202</w:t>
      </w:r>
      <w:r w:rsidR="00684B01" w:rsidRPr="0058008E">
        <w:rPr>
          <w:rFonts w:ascii="Times New Roman" w:hAnsi="Times New Roman"/>
          <w:b w:val="0"/>
          <w:i w:val="0"/>
          <w:sz w:val="24"/>
        </w:rPr>
        <w:t>3</w:t>
      </w:r>
      <w:r w:rsidR="005639AB" w:rsidRPr="0058008E">
        <w:rPr>
          <w:rFonts w:ascii="Times New Roman" w:hAnsi="Times New Roman"/>
          <w:b w:val="0"/>
          <w:i w:val="0"/>
          <w:sz w:val="24"/>
        </w:rPr>
        <w:t xml:space="preserve"> roku – </w:t>
      </w:r>
      <w:r w:rsidR="00684B01" w:rsidRPr="0058008E">
        <w:rPr>
          <w:rFonts w:ascii="Times New Roman" w:hAnsi="Times New Roman"/>
          <w:b w:val="0"/>
          <w:i w:val="0"/>
          <w:sz w:val="24"/>
        </w:rPr>
        <w:t>63</w:t>
      </w:r>
      <w:r w:rsidR="009F53B4" w:rsidRPr="0058008E">
        <w:rPr>
          <w:rFonts w:ascii="Times New Roman" w:hAnsi="Times New Roman"/>
          <w:b w:val="0"/>
          <w:i w:val="0"/>
          <w:sz w:val="24"/>
        </w:rPr>
        <w:t>,</w:t>
      </w:r>
      <w:r w:rsidR="00684B01" w:rsidRPr="0058008E">
        <w:rPr>
          <w:rFonts w:ascii="Times New Roman" w:hAnsi="Times New Roman"/>
          <w:b w:val="0"/>
          <w:i w:val="0"/>
          <w:sz w:val="24"/>
        </w:rPr>
        <w:t>5</w:t>
      </w:r>
      <w:r w:rsidR="005639AB" w:rsidRPr="0058008E">
        <w:rPr>
          <w:rFonts w:ascii="Times New Roman" w:hAnsi="Times New Roman"/>
          <w:b w:val="0"/>
          <w:i w:val="0"/>
          <w:sz w:val="24"/>
        </w:rPr>
        <w:t xml:space="preserve"> mln</w:t>
      </w:r>
      <w:r w:rsidR="00727B63" w:rsidRPr="0058008E">
        <w:rPr>
          <w:rFonts w:ascii="Times New Roman" w:hAnsi="Times New Roman"/>
          <w:b w:val="0"/>
          <w:i w:val="0"/>
          <w:sz w:val="24"/>
        </w:rPr>
        <w:t xml:space="preserve"> zł</w:t>
      </w:r>
      <w:r w:rsidR="005639AB" w:rsidRPr="0058008E">
        <w:rPr>
          <w:rFonts w:ascii="Times New Roman" w:hAnsi="Times New Roman"/>
          <w:b w:val="0"/>
          <w:i w:val="0"/>
          <w:sz w:val="24"/>
        </w:rPr>
        <w:t>)</w:t>
      </w:r>
      <w:r w:rsidR="0031085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727B63" w:rsidRPr="0058008E">
        <w:rPr>
          <w:rFonts w:ascii="Times New Roman" w:hAnsi="Times New Roman"/>
          <w:b w:val="0"/>
          <w:i w:val="0"/>
          <w:sz w:val="24"/>
        </w:rPr>
        <w:t>zajmowały udzielane z budżetu miasta</w:t>
      </w:r>
      <w:r w:rsidR="00727B63" w:rsidRPr="0058008E">
        <w:rPr>
          <w:rFonts w:ascii="Times New Roman" w:hAnsi="Times New Roman"/>
          <w:b w:val="0"/>
          <w:sz w:val="24"/>
        </w:rPr>
        <w:t xml:space="preserve"> </w:t>
      </w:r>
      <w:r w:rsidR="00727B63" w:rsidRPr="0058008E">
        <w:rPr>
          <w:rFonts w:ascii="Times New Roman" w:hAnsi="Times New Roman"/>
          <w:sz w:val="24"/>
          <w:u w:val="single"/>
        </w:rPr>
        <w:t>dotacje</w:t>
      </w:r>
      <w:r w:rsidR="00727B63" w:rsidRPr="0058008E">
        <w:rPr>
          <w:rFonts w:ascii="Times New Roman" w:hAnsi="Times New Roman"/>
          <w:b w:val="0"/>
          <w:i w:val="0"/>
          <w:sz w:val="24"/>
          <w:u w:val="single"/>
        </w:rPr>
        <w:t>.</w:t>
      </w:r>
      <w:r w:rsidR="00727B63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536FB" w:rsidRPr="0058008E">
        <w:rPr>
          <w:rFonts w:ascii="Times New Roman" w:hAnsi="Times New Roman"/>
          <w:b w:val="0"/>
          <w:i w:val="0"/>
          <w:sz w:val="24"/>
          <w:vertAlign w:val="superscript"/>
        </w:rPr>
        <w:t>1</w:t>
      </w:r>
      <w:r w:rsidR="00F536FB" w:rsidRPr="0058008E">
        <w:rPr>
          <w:rFonts w:ascii="Times New Roman" w:hAnsi="Times New Roman"/>
          <w:b w:val="0"/>
          <w:i w:val="0"/>
          <w:sz w:val="24"/>
        </w:rPr>
        <w:t>/</w:t>
      </w:r>
      <w:r w:rsidR="000A3DA5" w:rsidRPr="0058008E">
        <w:rPr>
          <w:rFonts w:ascii="Times New Roman" w:hAnsi="Times New Roman"/>
          <w:b w:val="0"/>
          <w:i w:val="0"/>
          <w:sz w:val="24"/>
          <w:vertAlign w:val="subscript"/>
        </w:rPr>
        <w:t>4</w:t>
      </w:r>
      <w:r w:rsidR="00F536FB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E4E91" w:rsidRPr="0058008E">
        <w:rPr>
          <w:rFonts w:ascii="Times New Roman" w:hAnsi="Times New Roman"/>
          <w:b w:val="0"/>
          <w:i w:val="0"/>
          <w:sz w:val="24"/>
        </w:rPr>
        <w:t>z nich</w:t>
      </w:r>
      <w:r w:rsidR="000B405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D01C60" w:rsidRPr="0058008E">
        <w:rPr>
          <w:rFonts w:ascii="Times New Roman" w:hAnsi="Times New Roman"/>
          <w:b w:val="0"/>
          <w:i w:val="0"/>
          <w:sz w:val="24"/>
        </w:rPr>
        <w:t>to dotacje dla</w:t>
      </w:r>
      <w:r w:rsidR="00F536FB" w:rsidRPr="0058008E">
        <w:rPr>
          <w:rFonts w:ascii="Times New Roman" w:hAnsi="Times New Roman"/>
          <w:b w:val="0"/>
          <w:i w:val="0"/>
          <w:sz w:val="24"/>
        </w:rPr>
        <w:t xml:space="preserve"> niepublicznych placówek</w:t>
      </w:r>
      <w:r w:rsidR="00EE4E9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D37D2A" w:rsidRPr="0058008E">
        <w:rPr>
          <w:rFonts w:ascii="Times New Roman" w:hAnsi="Times New Roman"/>
          <w:b w:val="0"/>
          <w:i w:val="0"/>
          <w:sz w:val="24"/>
        </w:rPr>
        <w:t>oświatowych</w:t>
      </w:r>
      <w:r w:rsidR="00F05FD1" w:rsidRPr="0058008E">
        <w:rPr>
          <w:rFonts w:ascii="Times New Roman" w:hAnsi="Times New Roman"/>
          <w:b w:val="0"/>
          <w:i w:val="0"/>
          <w:sz w:val="24"/>
        </w:rPr>
        <w:t>, przeszło</w:t>
      </w:r>
      <w:r w:rsidR="00E3099D" w:rsidRPr="0058008E">
        <w:rPr>
          <w:rFonts w:ascii="Times New Roman" w:hAnsi="Times New Roman"/>
          <w:b w:val="0"/>
          <w:i w:val="0"/>
          <w:sz w:val="24"/>
        </w:rPr>
        <w:t xml:space="preserve"> </w:t>
      </w:r>
      <w:bookmarkStart w:id="9" w:name="_Hlk94083999"/>
      <w:r w:rsidR="00727B63" w:rsidRPr="0058008E">
        <w:rPr>
          <w:rFonts w:ascii="Times New Roman" w:hAnsi="Times New Roman"/>
          <w:b w:val="0"/>
          <w:i w:val="0"/>
          <w:sz w:val="24"/>
          <w:vertAlign w:val="superscript"/>
        </w:rPr>
        <w:t>1</w:t>
      </w:r>
      <w:r w:rsidR="00727B63" w:rsidRPr="0058008E">
        <w:rPr>
          <w:rFonts w:ascii="Times New Roman" w:hAnsi="Times New Roman"/>
          <w:b w:val="0"/>
          <w:i w:val="0"/>
          <w:sz w:val="24"/>
        </w:rPr>
        <w:t>/</w:t>
      </w:r>
      <w:r w:rsidR="009A0479" w:rsidRPr="0058008E">
        <w:rPr>
          <w:rFonts w:ascii="Times New Roman" w:hAnsi="Times New Roman"/>
          <w:b w:val="0"/>
          <w:i w:val="0"/>
          <w:sz w:val="24"/>
          <w:vertAlign w:val="subscript"/>
        </w:rPr>
        <w:t>4</w:t>
      </w:r>
      <w:r w:rsidR="00E3099D" w:rsidRPr="0058008E">
        <w:rPr>
          <w:rFonts w:ascii="Times New Roman" w:hAnsi="Times New Roman"/>
          <w:b w:val="0"/>
          <w:i w:val="0"/>
          <w:sz w:val="24"/>
        </w:rPr>
        <w:t xml:space="preserve"> </w:t>
      </w:r>
      <w:bookmarkEnd w:id="9"/>
      <w:r w:rsidR="00727B63" w:rsidRPr="0058008E">
        <w:rPr>
          <w:rFonts w:ascii="Times New Roman" w:hAnsi="Times New Roman"/>
          <w:b w:val="0"/>
          <w:i w:val="0"/>
          <w:sz w:val="24"/>
        </w:rPr>
        <w:t>stanowiły środki przekazane instytucjom kultury</w:t>
      </w:r>
      <w:r w:rsidR="00E416F3" w:rsidRPr="0058008E">
        <w:rPr>
          <w:rFonts w:ascii="Times New Roman" w:hAnsi="Times New Roman"/>
          <w:b w:val="0"/>
          <w:i w:val="0"/>
          <w:sz w:val="24"/>
        </w:rPr>
        <w:t xml:space="preserve"> w formie dotacji podmiotowych</w:t>
      </w:r>
      <w:r w:rsidR="009A0479" w:rsidRPr="0058008E">
        <w:rPr>
          <w:rFonts w:ascii="Times New Roman" w:hAnsi="Times New Roman"/>
          <w:b w:val="0"/>
          <w:i w:val="0"/>
          <w:sz w:val="24"/>
        </w:rPr>
        <w:t>,</w:t>
      </w:r>
      <w:r w:rsidR="009A0479" w:rsidRPr="0058008E">
        <w:rPr>
          <w:rFonts w:ascii="Times New Roman" w:hAnsi="Times New Roman"/>
          <w:b w:val="0"/>
          <w:i w:val="0"/>
          <w:sz w:val="24"/>
          <w:vertAlign w:val="superscript"/>
        </w:rPr>
        <w:t xml:space="preserve"> 1</w:t>
      </w:r>
      <w:r w:rsidR="009A0479" w:rsidRPr="0058008E">
        <w:rPr>
          <w:rFonts w:ascii="Times New Roman" w:hAnsi="Times New Roman"/>
          <w:b w:val="0"/>
          <w:i w:val="0"/>
          <w:sz w:val="24"/>
        </w:rPr>
        <w:t>/</w:t>
      </w:r>
      <w:r w:rsidR="009A0479" w:rsidRPr="0058008E">
        <w:rPr>
          <w:rFonts w:ascii="Times New Roman" w:hAnsi="Times New Roman"/>
          <w:b w:val="0"/>
          <w:i w:val="0"/>
          <w:sz w:val="24"/>
          <w:vertAlign w:val="subscript"/>
        </w:rPr>
        <w:t xml:space="preserve">10 </w:t>
      </w:r>
      <w:r w:rsidR="00F05FD1" w:rsidRPr="0058008E">
        <w:rPr>
          <w:rFonts w:ascii="Times New Roman" w:hAnsi="Times New Roman"/>
          <w:b w:val="0"/>
          <w:i w:val="0"/>
          <w:sz w:val="24"/>
        </w:rPr>
        <w:t>to</w:t>
      </w:r>
      <w:r w:rsidR="009A0479" w:rsidRPr="0058008E">
        <w:rPr>
          <w:rFonts w:ascii="Times New Roman" w:hAnsi="Times New Roman"/>
          <w:b w:val="0"/>
          <w:i w:val="0"/>
          <w:sz w:val="24"/>
        </w:rPr>
        <w:t xml:space="preserve"> dotacje celowe dla tych </w:t>
      </w:r>
      <w:r w:rsidR="004B3100" w:rsidRPr="0058008E">
        <w:rPr>
          <w:rFonts w:ascii="Times New Roman" w:hAnsi="Times New Roman"/>
          <w:b w:val="0"/>
          <w:i w:val="0"/>
          <w:sz w:val="24"/>
        </w:rPr>
        <w:t>instytucji.</w:t>
      </w:r>
      <w:r w:rsidR="00EE4E91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77369" w:rsidRPr="0058008E">
        <w:rPr>
          <w:rFonts w:ascii="Times New Roman" w:hAnsi="Times New Roman"/>
          <w:b w:val="0"/>
          <w:i w:val="0"/>
          <w:sz w:val="24"/>
        </w:rPr>
        <w:t>D</w:t>
      </w:r>
      <w:r w:rsidR="000B4054" w:rsidRPr="0058008E">
        <w:rPr>
          <w:rFonts w:ascii="Times New Roman" w:hAnsi="Times New Roman"/>
          <w:b w:val="0"/>
          <w:i w:val="0"/>
          <w:sz w:val="24"/>
        </w:rPr>
        <w:t>opłata do komunikac</w:t>
      </w:r>
      <w:r w:rsidR="00696526" w:rsidRPr="0058008E">
        <w:rPr>
          <w:rFonts w:ascii="Times New Roman" w:hAnsi="Times New Roman"/>
          <w:b w:val="0"/>
          <w:i w:val="0"/>
          <w:sz w:val="24"/>
        </w:rPr>
        <w:t xml:space="preserve">ji miejskiej to koszt blisko </w:t>
      </w:r>
      <w:r w:rsidR="009F53B4" w:rsidRPr="0058008E">
        <w:rPr>
          <w:rFonts w:ascii="Times New Roman" w:hAnsi="Times New Roman"/>
          <w:b w:val="0"/>
          <w:i w:val="0"/>
          <w:sz w:val="24"/>
        </w:rPr>
        <w:t>8,1</w:t>
      </w:r>
      <w:r w:rsidR="000B4054" w:rsidRPr="0058008E">
        <w:rPr>
          <w:rFonts w:ascii="Times New Roman" w:hAnsi="Times New Roman"/>
          <w:b w:val="0"/>
          <w:i w:val="0"/>
          <w:sz w:val="24"/>
        </w:rPr>
        <w:t xml:space="preserve"> mln zł, </w:t>
      </w:r>
      <w:r w:rsidR="008A6B09" w:rsidRPr="0058008E">
        <w:rPr>
          <w:rFonts w:ascii="Times New Roman" w:hAnsi="Times New Roman"/>
          <w:b w:val="0"/>
          <w:i w:val="0"/>
          <w:sz w:val="24"/>
        </w:rPr>
        <w:t xml:space="preserve">pozostałe </w:t>
      </w:r>
      <w:r w:rsidR="00973E3D" w:rsidRPr="0058008E">
        <w:rPr>
          <w:rFonts w:ascii="Times New Roman" w:hAnsi="Times New Roman"/>
          <w:b w:val="0"/>
          <w:i w:val="0"/>
          <w:sz w:val="24"/>
        </w:rPr>
        <w:t xml:space="preserve">zaś </w:t>
      </w:r>
      <w:r w:rsidR="008A6B09" w:rsidRPr="0058008E">
        <w:rPr>
          <w:rFonts w:ascii="Times New Roman" w:hAnsi="Times New Roman"/>
          <w:b w:val="0"/>
          <w:i w:val="0"/>
          <w:sz w:val="24"/>
        </w:rPr>
        <w:t>środki wydatkowane zostały</w:t>
      </w:r>
      <w:r w:rsidR="00727B63" w:rsidRPr="0058008E">
        <w:rPr>
          <w:rFonts w:ascii="Times New Roman" w:hAnsi="Times New Roman"/>
          <w:b w:val="0"/>
          <w:i w:val="0"/>
          <w:sz w:val="24"/>
        </w:rPr>
        <w:t xml:space="preserve"> w formie grantów dla organizacji pozarządow</w:t>
      </w:r>
      <w:r w:rsidR="00D12C87" w:rsidRPr="0058008E">
        <w:rPr>
          <w:rFonts w:ascii="Times New Roman" w:hAnsi="Times New Roman"/>
          <w:b w:val="0"/>
          <w:i w:val="0"/>
          <w:sz w:val="24"/>
        </w:rPr>
        <w:t>ych</w:t>
      </w:r>
      <w:r w:rsidR="0089785F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0850FFB3" w14:textId="0236A2B4" w:rsidR="00F5293B" w:rsidRPr="0058008E" w:rsidRDefault="00F5293B" w:rsidP="00F5293B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Kolejną pozycję zajmują tzw. </w:t>
      </w:r>
      <w:r w:rsidRPr="0058008E">
        <w:rPr>
          <w:rFonts w:ascii="Times New Roman" w:hAnsi="Times New Roman"/>
          <w:sz w:val="24"/>
          <w:u w:val="single"/>
        </w:rPr>
        <w:t>„usługi pozostałe”</w:t>
      </w:r>
      <w:r w:rsidRPr="0058008E">
        <w:rPr>
          <w:rFonts w:ascii="Times New Roman" w:hAnsi="Times New Roman"/>
          <w:b w:val="0"/>
          <w:i w:val="0"/>
          <w:sz w:val="24"/>
        </w:rPr>
        <w:t xml:space="preserve"> z kwotą </w:t>
      </w:r>
      <w:r w:rsidR="00063854" w:rsidRPr="0058008E">
        <w:rPr>
          <w:rFonts w:ascii="Times New Roman" w:hAnsi="Times New Roman"/>
          <w:b w:val="0"/>
          <w:i w:val="0"/>
          <w:sz w:val="24"/>
        </w:rPr>
        <w:t>8</w:t>
      </w:r>
      <w:r w:rsidR="005961CB" w:rsidRPr="0058008E">
        <w:rPr>
          <w:rFonts w:ascii="Times New Roman" w:hAnsi="Times New Roman"/>
          <w:b w:val="0"/>
          <w:i w:val="0"/>
          <w:sz w:val="24"/>
        </w:rPr>
        <w:t>8</w:t>
      </w:r>
      <w:r w:rsidR="00063854" w:rsidRPr="0058008E">
        <w:rPr>
          <w:rFonts w:ascii="Times New Roman" w:hAnsi="Times New Roman"/>
          <w:b w:val="0"/>
          <w:i w:val="0"/>
          <w:sz w:val="24"/>
        </w:rPr>
        <w:t>,</w:t>
      </w:r>
      <w:r w:rsidR="001E0D2E" w:rsidRPr="0058008E">
        <w:rPr>
          <w:rFonts w:ascii="Times New Roman" w:hAnsi="Times New Roman"/>
          <w:b w:val="0"/>
          <w:i w:val="0"/>
          <w:sz w:val="24"/>
        </w:rPr>
        <w:t>8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    (</w:t>
      </w:r>
      <w:r w:rsidRPr="0058008E">
        <w:rPr>
          <w:rFonts w:ascii="Times New Roman" w:hAnsi="Times New Roman"/>
          <w:b w:val="0"/>
          <w:i w:val="0"/>
          <w:sz w:val="24"/>
          <w:vertAlign w:val="superscript"/>
        </w:rPr>
        <w:t>1</w:t>
      </w:r>
      <w:r w:rsidRPr="0058008E">
        <w:rPr>
          <w:rFonts w:ascii="Times New Roman" w:hAnsi="Times New Roman"/>
          <w:b w:val="0"/>
          <w:i w:val="0"/>
          <w:sz w:val="24"/>
        </w:rPr>
        <w:t>/7 wszystkich wydatków bieżących). Mieszczą się w nich wszelkie usługi świadczone na rzecz jednostek miejskich, z których blisko</w:t>
      </w:r>
      <w:r w:rsidRPr="0058008E">
        <w:rPr>
          <w:rFonts w:ascii="Times New Roman" w:hAnsi="Times New Roman"/>
          <w:b w:val="0"/>
          <w:i w:val="0"/>
          <w:sz w:val="24"/>
          <w:vertAlign w:val="superscript"/>
        </w:rPr>
        <w:t xml:space="preserve"> 1</w:t>
      </w:r>
      <w:r w:rsidRPr="0058008E">
        <w:rPr>
          <w:rFonts w:ascii="Times New Roman" w:hAnsi="Times New Roman"/>
          <w:b w:val="0"/>
          <w:i w:val="0"/>
          <w:sz w:val="24"/>
        </w:rPr>
        <w:t>/</w:t>
      </w:r>
      <w:r w:rsidRPr="0058008E">
        <w:rPr>
          <w:rFonts w:ascii="Times New Roman" w:hAnsi="Times New Roman"/>
          <w:b w:val="0"/>
          <w:i w:val="0"/>
          <w:sz w:val="24"/>
          <w:vertAlign w:val="subscript"/>
        </w:rPr>
        <w:t xml:space="preserve">3 </w:t>
      </w:r>
      <w:r w:rsidRPr="0058008E">
        <w:rPr>
          <w:rFonts w:ascii="Times New Roman" w:hAnsi="Times New Roman"/>
          <w:b w:val="0"/>
          <w:i w:val="0"/>
          <w:sz w:val="24"/>
        </w:rPr>
        <w:t xml:space="preserve">dotyczyły wydatków ściśle związanych z gospodarką komunalną, niespełna </w:t>
      </w:r>
      <w:r w:rsidRPr="0058008E">
        <w:rPr>
          <w:rFonts w:ascii="Times New Roman" w:hAnsi="Times New Roman"/>
          <w:b w:val="0"/>
          <w:i w:val="0"/>
          <w:sz w:val="24"/>
          <w:vertAlign w:val="superscript"/>
        </w:rPr>
        <w:t>1</w:t>
      </w:r>
      <w:r w:rsidRPr="0058008E">
        <w:rPr>
          <w:rFonts w:ascii="Times New Roman" w:hAnsi="Times New Roman"/>
          <w:b w:val="0"/>
          <w:i w:val="0"/>
          <w:sz w:val="24"/>
        </w:rPr>
        <w:t>/</w:t>
      </w:r>
      <w:r w:rsidRPr="0058008E">
        <w:rPr>
          <w:rFonts w:ascii="Times New Roman" w:hAnsi="Times New Roman"/>
          <w:b w:val="0"/>
          <w:i w:val="0"/>
          <w:sz w:val="24"/>
          <w:vertAlign w:val="subscript"/>
        </w:rPr>
        <w:t xml:space="preserve">5 </w:t>
      </w:r>
      <w:r w:rsidRPr="0058008E">
        <w:rPr>
          <w:rFonts w:ascii="Times New Roman" w:hAnsi="Times New Roman"/>
          <w:b w:val="0"/>
          <w:i w:val="0"/>
          <w:sz w:val="24"/>
        </w:rPr>
        <w:t>zadania z zakresu upowszechniania sportu.</w:t>
      </w:r>
    </w:p>
    <w:p w14:paraId="71026AC2" w14:textId="4A3F6570" w:rsidR="00841426" w:rsidRPr="0058008E" w:rsidRDefault="00841426" w:rsidP="00841426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lastRenderedPageBreak/>
        <w:t xml:space="preserve">Na </w:t>
      </w:r>
      <w:r w:rsidRPr="0058008E">
        <w:rPr>
          <w:rFonts w:ascii="Times New Roman" w:hAnsi="Times New Roman"/>
          <w:i w:val="0"/>
          <w:sz w:val="24"/>
          <w:u w:val="single"/>
        </w:rPr>
        <w:t>„ś</w:t>
      </w:r>
      <w:r w:rsidRPr="0058008E">
        <w:rPr>
          <w:rFonts w:ascii="Times New Roman" w:hAnsi="Times New Roman"/>
          <w:sz w:val="24"/>
          <w:u w:val="single"/>
        </w:rPr>
        <w:t>wiadczenia i zasiłki społeczne”</w:t>
      </w:r>
      <w:r w:rsidRPr="0058008E">
        <w:rPr>
          <w:rFonts w:ascii="Times New Roman" w:hAnsi="Times New Roman"/>
          <w:b w:val="0"/>
          <w:i w:val="0"/>
          <w:sz w:val="24"/>
        </w:rPr>
        <w:t xml:space="preserve"> przeznaczonych zostało </w:t>
      </w:r>
      <w:r w:rsidR="00A4168B" w:rsidRPr="0058008E">
        <w:rPr>
          <w:rFonts w:ascii="Times New Roman" w:hAnsi="Times New Roman"/>
          <w:b w:val="0"/>
          <w:i w:val="0"/>
          <w:sz w:val="24"/>
        </w:rPr>
        <w:t>2</w:t>
      </w:r>
      <w:r w:rsidR="001E0D2E" w:rsidRPr="0058008E">
        <w:rPr>
          <w:rFonts w:ascii="Times New Roman" w:hAnsi="Times New Roman"/>
          <w:b w:val="0"/>
          <w:i w:val="0"/>
          <w:sz w:val="24"/>
        </w:rPr>
        <w:t>3</w:t>
      </w:r>
      <w:r w:rsidR="004B3100" w:rsidRPr="0058008E">
        <w:rPr>
          <w:rFonts w:ascii="Times New Roman" w:hAnsi="Times New Roman"/>
          <w:b w:val="0"/>
          <w:i w:val="0"/>
          <w:sz w:val="24"/>
        </w:rPr>
        <w:t>,</w:t>
      </w:r>
      <w:r w:rsidR="001E0D2E" w:rsidRPr="0058008E">
        <w:rPr>
          <w:rFonts w:ascii="Times New Roman" w:hAnsi="Times New Roman"/>
          <w:b w:val="0"/>
          <w:i w:val="0"/>
          <w:sz w:val="24"/>
        </w:rPr>
        <w:t>6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17"/>
      </w:r>
      <w:r w:rsidRPr="0058008E">
        <w:rPr>
          <w:rFonts w:ascii="Times New Roman" w:hAnsi="Times New Roman"/>
          <w:b w:val="0"/>
          <w:i w:val="0"/>
          <w:sz w:val="24"/>
        </w:rPr>
        <w:t>, z</w:t>
      </w:r>
      <w:r w:rsidR="00A32F7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których</w:t>
      </w:r>
      <w:r w:rsidR="00166A7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1E0D2E" w:rsidRPr="0058008E">
        <w:rPr>
          <w:rFonts w:ascii="Times New Roman" w:hAnsi="Times New Roman"/>
          <w:b w:val="0"/>
          <w:i w:val="0"/>
          <w:sz w:val="24"/>
        </w:rPr>
        <w:t>53</w:t>
      </w:r>
      <w:r w:rsidR="006671A3" w:rsidRPr="0058008E">
        <w:rPr>
          <w:rFonts w:ascii="Times New Roman" w:hAnsi="Times New Roman"/>
          <w:b w:val="0"/>
          <w:i w:val="0"/>
          <w:sz w:val="24"/>
        </w:rPr>
        <w:t>,</w:t>
      </w:r>
      <w:r w:rsidR="001E0D2E" w:rsidRPr="0058008E">
        <w:rPr>
          <w:rFonts w:ascii="Times New Roman" w:hAnsi="Times New Roman"/>
          <w:b w:val="0"/>
          <w:i w:val="0"/>
          <w:sz w:val="24"/>
        </w:rPr>
        <w:t>19</w:t>
      </w:r>
      <w:r w:rsidR="00763D46" w:rsidRPr="0058008E">
        <w:rPr>
          <w:rFonts w:ascii="Times New Roman" w:hAnsi="Times New Roman"/>
          <w:b w:val="0"/>
          <w:i w:val="0"/>
          <w:sz w:val="24"/>
        </w:rPr>
        <w:t>%</w:t>
      </w:r>
      <w:r w:rsidR="00CA54E0" w:rsidRPr="0058008E">
        <w:rPr>
          <w:rFonts w:ascii="Times New Roman" w:hAnsi="Times New Roman"/>
          <w:b w:val="0"/>
          <w:i w:val="0"/>
          <w:sz w:val="24"/>
          <w:vertAlign w:val="subscript"/>
        </w:rPr>
        <w:t xml:space="preserve"> </w:t>
      </w:r>
      <w:r w:rsidR="00CA54E0" w:rsidRPr="0058008E">
        <w:rPr>
          <w:rFonts w:ascii="Times New Roman" w:hAnsi="Times New Roman"/>
          <w:b w:val="0"/>
          <w:i w:val="0"/>
          <w:sz w:val="24"/>
        </w:rPr>
        <w:t>wydatkowano na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A54E0" w:rsidRPr="0058008E">
        <w:rPr>
          <w:rFonts w:ascii="Times New Roman" w:hAnsi="Times New Roman"/>
          <w:b w:val="0"/>
          <w:i w:val="0"/>
          <w:sz w:val="24"/>
        </w:rPr>
        <w:t>realizacj</w:t>
      </w:r>
      <w:r w:rsidR="00F77369" w:rsidRPr="0058008E">
        <w:rPr>
          <w:rFonts w:ascii="Times New Roman" w:hAnsi="Times New Roman"/>
          <w:b w:val="0"/>
          <w:i w:val="0"/>
          <w:sz w:val="24"/>
        </w:rPr>
        <w:t>ę</w:t>
      </w:r>
      <w:r w:rsidR="00CA54E0" w:rsidRPr="0058008E">
        <w:rPr>
          <w:rFonts w:ascii="Times New Roman" w:hAnsi="Times New Roman"/>
          <w:b w:val="0"/>
          <w:i w:val="0"/>
          <w:sz w:val="24"/>
        </w:rPr>
        <w:t xml:space="preserve"> programu rządowego „500</w:t>
      </w:r>
      <w:r w:rsidR="005A3646" w:rsidRPr="0058008E">
        <w:rPr>
          <w:rFonts w:ascii="Times New Roman" w:hAnsi="Times New Roman"/>
          <w:b w:val="0"/>
          <w:i w:val="0"/>
          <w:sz w:val="24"/>
        </w:rPr>
        <w:t>+” i</w:t>
      </w:r>
      <w:r w:rsidR="00CA54E0" w:rsidRPr="0058008E">
        <w:rPr>
          <w:rFonts w:ascii="Times New Roman" w:hAnsi="Times New Roman"/>
          <w:b w:val="0"/>
          <w:i w:val="0"/>
          <w:sz w:val="24"/>
        </w:rPr>
        <w:t xml:space="preserve"> na świadczenia rodzinne i alimentacyjne.</w:t>
      </w:r>
      <w:r w:rsidR="00CC1F08" w:rsidRPr="0058008E">
        <w:rPr>
          <w:rFonts w:ascii="Times New Roman" w:hAnsi="Times New Roman"/>
          <w:b w:val="0"/>
          <w:i w:val="0"/>
          <w:sz w:val="24"/>
        </w:rPr>
        <w:t xml:space="preserve"> Były to także wypłaty diet dla radnych miasta, dla członków komisji, były to wypłaty stypendiów naukowych i socjalnych, jak również ekwiwalenty za odzież roboczą, okulary</w:t>
      </w:r>
      <w:r w:rsidR="00E14903" w:rsidRPr="0058008E">
        <w:rPr>
          <w:rFonts w:ascii="Times New Roman" w:hAnsi="Times New Roman"/>
          <w:b w:val="0"/>
          <w:i w:val="0"/>
          <w:sz w:val="24"/>
        </w:rPr>
        <w:t xml:space="preserve"> i itp</w:t>
      </w:r>
      <w:r w:rsidR="00CC1F08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32CCDB05" w14:textId="50D201FF" w:rsidR="00827B4D" w:rsidRPr="0058008E" w:rsidRDefault="00FD78DC" w:rsidP="00BF66A4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Wydatki </w:t>
      </w:r>
      <w:r w:rsidR="006462F5" w:rsidRPr="0058008E">
        <w:rPr>
          <w:rFonts w:ascii="Times New Roman" w:hAnsi="Times New Roman"/>
          <w:b w:val="0"/>
          <w:i w:val="0"/>
          <w:sz w:val="24"/>
        </w:rPr>
        <w:t xml:space="preserve">związane z </w:t>
      </w:r>
      <w:r w:rsidR="006462F5" w:rsidRPr="0058008E">
        <w:rPr>
          <w:rFonts w:ascii="Times New Roman" w:hAnsi="Times New Roman"/>
          <w:sz w:val="24"/>
          <w:u w:val="single"/>
        </w:rPr>
        <w:t>remontami bieżącymi</w:t>
      </w:r>
      <w:r w:rsidR="006462F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D3A2B" w:rsidRPr="0058008E">
        <w:rPr>
          <w:rFonts w:ascii="Times New Roman" w:hAnsi="Times New Roman"/>
          <w:b w:val="0"/>
          <w:i w:val="0"/>
          <w:sz w:val="24"/>
        </w:rPr>
        <w:t>w</w:t>
      </w:r>
      <w:r w:rsidR="006462F5" w:rsidRPr="0058008E">
        <w:rPr>
          <w:rFonts w:ascii="Times New Roman" w:hAnsi="Times New Roman"/>
          <w:b w:val="0"/>
          <w:i w:val="0"/>
          <w:sz w:val="24"/>
        </w:rPr>
        <w:t>yniosły</w:t>
      </w:r>
      <w:r w:rsidR="00B95FB2" w:rsidRPr="0058008E">
        <w:rPr>
          <w:rFonts w:ascii="Times New Roman" w:hAnsi="Times New Roman"/>
          <w:b w:val="0"/>
          <w:i w:val="0"/>
          <w:sz w:val="24"/>
        </w:rPr>
        <w:t xml:space="preserve"> łącznie</w:t>
      </w:r>
      <w:r w:rsidR="006462F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1202A" w:rsidRPr="0058008E">
        <w:rPr>
          <w:rFonts w:ascii="Times New Roman" w:hAnsi="Times New Roman"/>
          <w:b w:val="0"/>
          <w:i w:val="0"/>
          <w:sz w:val="24"/>
        </w:rPr>
        <w:t>1</w:t>
      </w:r>
      <w:r w:rsidR="001E0D2E" w:rsidRPr="0058008E">
        <w:rPr>
          <w:rFonts w:ascii="Times New Roman" w:hAnsi="Times New Roman"/>
          <w:b w:val="0"/>
          <w:i w:val="0"/>
          <w:sz w:val="24"/>
        </w:rPr>
        <w:t>3</w:t>
      </w:r>
      <w:r w:rsidR="002E4C36" w:rsidRPr="0058008E">
        <w:rPr>
          <w:rFonts w:ascii="Times New Roman" w:hAnsi="Times New Roman"/>
          <w:b w:val="0"/>
          <w:i w:val="0"/>
          <w:sz w:val="24"/>
        </w:rPr>
        <w:t>,</w:t>
      </w:r>
      <w:r w:rsidR="001E0D2E" w:rsidRPr="0058008E">
        <w:rPr>
          <w:rFonts w:ascii="Times New Roman" w:hAnsi="Times New Roman"/>
          <w:b w:val="0"/>
          <w:i w:val="0"/>
          <w:sz w:val="24"/>
        </w:rPr>
        <w:t>4</w:t>
      </w:r>
      <w:r w:rsidR="00480657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F77369" w:rsidRPr="0058008E">
        <w:rPr>
          <w:rFonts w:ascii="Times New Roman" w:hAnsi="Times New Roman"/>
          <w:b w:val="0"/>
          <w:i w:val="0"/>
          <w:sz w:val="24"/>
        </w:rPr>
        <w:t>.</w:t>
      </w:r>
      <w:r w:rsidR="000E7474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067B08" w:rsidRPr="0058008E">
        <w:rPr>
          <w:rFonts w:ascii="Times New Roman" w:hAnsi="Times New Roman"/>
          <w:b w:val="0"/>
          <w:i w:val="0"/>
          <w:sz w:val="24"/>
        </w:rPr>
        <w:t xml:space="preserve">Kwota powyższa obejmuje również </w:t>
      </w:r>
      <w:r w:rsidR="002D05FB" w:rsidRPr="0058008E">
        <w:rPr>
          <w:rFonts w:ascii="Times New Roman" w:hAnsi="Times New Roman"/>
          <w:b w:val="0"/>
          <w:i w:val="0"/>
          <w:sz w:val="24"/>
        </w:rPr>
        <w:t>remont</w:t>
      </w:r>
      <w:r w:rsidR="00310855" w:rsidRPr="0058008E">
        <w:rPr>
          <w:rFonts w:ascii="Times New Roman" w:hAnsi="Times New Roman"/>
          <w:b w:val="0"/>
          <w:i w:val="0"/>
          <w:sz w:val="24"/>
        </w:rPr>
        <w:t>y</w:t>
      </w:r>
      <w:r w:rsidR="002D05FB" w:rsidRPr="0058008E">
        <w:rPr>
          <w:rFonts w:ascii="Times New Roman" w:hAnsi="Times New Roman"/>
          <w:b w:val="0"/>
          <w:i w:val="0"/>
          <w:sz w:val="24"/>
        </w:rPr>
        <w:t xml:space="preserve"> drogow</w:t>
      </w:r>
      <w:r w:rsidR="00310855" w:rsidRPr="0058008E">
        <w:rPr>
          <w:rFonts w:ascii="Times New Roman" w:hAnsi="Times New Roman"/>
          <w:b w:val="0"/>
          <w:i w:val="0"/>
          <w:sz w:val="24"/>
        </w:rPr>
        <w:t>e</w:t>
      </w:r>
      <w:r w:rsidR="002D05FB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310855" w:rsidRPr="0058008E">
        <w:rPr>
          <w:rFonts w:ascii="Times New Roman" w:hAnsi="Times New Roman"/>
          <w:b w:val="0"/>
          <w:i w:val="0"/>
          <w:sz w:val="24"/>
        </w:rPr>
        <w:t xml:space="preserve">w kwocie </w:t>
      </w:r>
      <w:r w:rsidR="001E0D2E" w:rsidRPr="0058008E">
        <w:rPr>
          <w:rFonts w:ascii="Times New Roman" w:hAnsi="Times New Roman"/>
          <w:b w:val="0"/>
          <w:i w:val="0"/>
          <w:sz w:val="24"/>
        </w:rPr>
        <w:t>8</w:t>
      </w:r>
      <w:r w:rsidR="00714B2F" w:rsidRPr="0058008E">
        <w:rPr>
          <w:rFonts w:ascii="Times New Roman" w:hAnsi="Times New Roman"/>
          <w:b w:val="0"/>
          <w:i w:val="0"/>
          <w:sz w:val="24"/>
        </w:rPr>
        <w:t>,6</w:t>
      </w:r>
      <w:r w:rsidR="002D05FB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0E637F" w:rsidRPr="0058008E">
        <w:rPr>
          <w:rFonts w:ascii="Times New Roman" w:hAnsi="Times New Roman"/>
          <w:b w:val="0"/>
          <w:i w:val="0"/>
          <w:sz w:val="24"/>
        </w:rPr>
        <w:t>.</w:t>
      </w:r>
      <w:r w:rsidR="00BF66A4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74D89A4D" w14:textId="32BE53A4" w:rsidR="00C15052" w:rsidRPr="0058008E" w:rsidRDefault="00F16392" w:rsidP="009C3944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N</w:t>
      </w:r>
      <w:r w:rsidR="006811EB" w:rsidRPr="0058008E">
        <w:rPr>
          <w:rFonts w:ascii="Times New Roman" w:hAnsi="Times New Roman"/>
          <w:b w:val="0"/>
          <w:i w:val="0"/>
          <w:sz w:val="24"/>
        </w:rPr>
        <w:t xml:space="preserve">a </w:t>
      </w:r>
      <w:r w:rsidRPr="0058008E">
        <w:rPr>
          <w:rFonts w:ascii="Times New Roman" w:hAnsi="Times New Roman"/>
          <w:i w:val="0"/>
          <w:sz w:val="24"/>
          <w:u w:val="single"/>
        </w:rPr>
        <w:t>„</w:t>
      </w:r>
      <w:r w:rsidR="006811EB" w:rsidRPr="0058008E">
        <w:rPr>
          <w:rFonts w:ascii="Times New Roman" w:hAnsi="Times New Roman"/>
          <w:sz w:val="24"/>
          <w:u w:val="single"/>
        </w:rPr>
        <w:t>zakup energii</w:t>
      </w:r>
      <w:r w:rsidRPr="0058008E">
        <w:rPr>
          <w:rFonts w:ascii="Times New Roman" w:hAnsi="Times New Roman"/>
          <w:sz w:val="24"/>
          <w:u w:val="single"/>
        </w:rPr>
        <w:t>”</w:t>
      </w:r>
      <w:r w:rsidR="006811EB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7336FA" w:rsidRPr="0058008E">
        <w:rPr>
          <w:rFonts w:ascii="Times New Roman" w:hAnsi="Times New Roman"/>
          <w:b w:val="0"/>
          <w:i w:val="0"/>
          <w:sz w:val="24"/>
        </w:rPr>
        <w:t>(</w:t>
      </w:r>
      <w:r w:rsidR="00EE4E91" w:rsidRPr="0058008E">
        <w:rPr>
          <w:rFonts w:ascii="Times New Roman" w:hAnsi="Times New Roman"/>
          <w:b w:val="0"/>
          <w:i w:val="0"/>
          <w:sz w:val="24"/>
        </w:rPr>
        <w:t xml:space="preserve">elektryczna, cieplna, woda, odprowadzanie </w:t>
      </w:r>
      <w:r w:rsidR="00714B2F" w:rsidRPr="0058008E">
        <w:rPr>
          <w:rFonts w:ascii="Times New Roman" w:hAnsi="Times New Roman"/>
          <w:b w:val="0"/>
          <w:i w:val="0"/>
          <w:sz w:val="24"/>
        </w:rPr>
        <w:t>ścieków)</w:t>
      </w:r>
      <w:r w:rsidR="00A32F7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33888" w:rsidRPr="0058008E">
        <w:rPr>
          <w:rFonts w:ascii="Times New Roman" w:hAnsi="Times New Roman"/>
          <w:b w:val="0"/>
          <w:i w:val="0"/>
          <w:sz w:val="24"/>
        </w:rPr>
        <w:t xml:space="preserve">z budżetu </w:t>
      </w:r>
      <w:r w:rsidR="006811EB" w:rsidRPr="0058008E">
        <w:rPr>
          <w:rFonts w:ascii="Times New Roman" w:hAnsi="Times New Roman"/>
          <w:b w:val="0"/>
          <w:i w:val="0"/>
          <w:sz w:val="24"/>
        </w:rPr>
        <w:t xml:space="preserve">wydatkowanych zostało </w:t>
      </w:r>
      <w:r w:rsidR="00A27552" w:rsidRPr="0058008E">
        <w:rPr>
          <w:rFonts w:ascii="Times New Roman" w:hAnsi="Times New Roman"/>
          <w:b w:val="0"/>
          <w:i w:val="0"/>
          <w:sz w:val="24"/>
        </w:rPr>
        <w:t>ponad</w:t>
      </w:r>
      <w:r w:rsidR="0094571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292227" w:rsidRPr="0058008E">
        <w:rPr>
          <w:rFonts w:ascii="Times New Roman" w:hAnsi="Times New Roman"/>
          <w:b w:val="0"/>
          <w:i w:val="0"/>
          <w:sz w:val="24"/>
        </w:rPr>
        <w:t>1</w:t>
      </w:r>
      <w:r w:rsidR="001E0D2E" w:rsidRPr="0058008E">
        <w:rPr>
          <w:rFonts w:ascii="Times New Roman" w:hAnsi="Times New Roman"/>
          <w:b w:val="0"/>
          <w:i w:val="0"/>
          <w:sz w:val="24"/>
        </w:rPr>
        <w:t>6</w:t>
      </w:r>
      <w:r w:rsidR="00945710" w:rsidRPr="0058008E">
        <w:rPr>
          <w:rFonts w:ascii="Times New Roman" w:hAnsi="Times New Roman"/>
          <w:b w:val="0"/>
          <w:i w:val="0"/>
          <w:sz w:val="24"/>
        </w:rPr>
        <w:t>,</w:t>
      </w:r>
      <w:r w:rsidR="00E1202A" w:rsidRPr="0058008E">
        <w:rPr>
          <w:rFonts w:ascii="Times New Roman" w:hAnsi="Times New Roman"/>
          <w:b w:val="0"/>
          <w:i w:val="0"/>
          <w:sz w:val="24"/>
        </w:rPr>
        <w:t>5</w:t>
      </w:r>
      <w:r w:rsidR="00B97AA0" w:rsidRPr="0058008E">
        <w:rPr>
          <w:rFonts w:ascii="Times New Roman" w:hAnsi="Times New Roman"/>
          <w:b w:val="0"/>
          <w:i w:val="0"/>
          <w:sz w:val="24"/>
        </w:rPr>
        <w:t xml:space="preserve"> mln z</w:t>
      </w:r>
      <w:r w:rsidR="00BF66A4" w:rsidRPr="0058008E">
        <w:rPr>
          <w:rFonts w:ascii="Times New Roman" w:hAnsi="Times New Roman"/>
          <w:b w:val="0"/>
          <w:i w:val="0"/>
          <w:sz w:val="24"/>
        </w:rPr>
        <w:t>ł</w:t>
      </w:r>
      <w:r w:rsidR="00BF66A4"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18"/>
      </w:r>
      <w:r w:rsidR="009F38B3" w:rsidRPr="0058008E">
        <w:rPr>
          <w:rFonts w:ascii="Times New Roman" w:hAnsi="Times New Roman"/>
          <w:b w:val="0"/>
          <w:i w:val="0"/>
          <w:sz w:val="24"/>
        </w:rPr>
        <w:t>.</w:t>
      </w:r>
      <w:r w:rsidR="00C50CE0" w:rsidRPr="0058008E">
        <w:rPr>
          <w:rFonts w:ascii="Times New Roman" w:hAnsi="Times New Roman"/>
          <w:b w:val="0"/>
          <w:i w:val="0"/>
          <w:sz w:val="24"/>
        </w:rPr>
        <w:t xml:space="preserve"> Były one mniejsze o </w:t>
      </w:r>
      <w:r w:rsidR="00E1202A" w:rsidRPr="0058008E">
        <w:rPr>
          <w:rFonts w:ascii="Times New Roman" w:hAnsi="Times New Roman"/>
          <w:b w:val="0"/>
          <w:i w:val="0"/>
          <w:sz w:val="24"/>
        </w:rPr>
        <w:t>1,</w:t>
      </w:r>
      <w:r w:rsidR="001E0D2E" w:rsidRPr="0058008E">
        <w:rPr>
          <w:rFonts w:ascii="Times New Roman" w:hAnsi="Times New Roman"/>
          <w:b w:val="0"/>
          <w:i w:val="0"/>
          <w:sz w:val="24"/>
        </w:rPr>
        <w:t>7</w:t>
      </w:r>
      <w:r w:rsidR="00C50CE0" w:rsidRPr="0058008E">
        <w:rPr>
          <w:rFonts w:ascii="Times New Roman" w:hAnsi="Times New Roman"/>
          <w:b w:val="0"/>
          <w:i w:val="0"/>
          <w:sz w:val="24"/>
        </w:rPr>
        <w:t xml:space="preserve"> mln zł od planowanych.</w:t>
      </w:r>
    </w:p>
    <w:p w14:paraId="246225ED" w14:textId="69333AB9" w:rsidR="007A00EB" w:rsidRPr="0058008E" w:rsidRDefault="00BE37F5" w:rsidP="00E45DE7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Spo</w:t>
      </w:r>
      <w:r w:rsidR="00F876E3" w:rsidRPr="0058008E">
        <w:rPr>
          <w:rFonts w:ascii="Times New Roman" w:hAnsi="Times New Roman"/>
          <w:b w:val="0"/>
          <w:i w:val="0"/>
          <w:sz w:val="24"/>
        </w:rPr>
        <w:t>śród „</w:t>
      </w:r>
      <w:r w:rsidR="00F876E3" w:rsidRPr="0058008E">
        <w:rPr>
          <w:rFonts w:ascii="Times New Roman" w:hAnsi="Times New Roman"/>
          <w:sz w:val="24"/>
          <w:u w:val="single"/>
        </w:rPr>
        <w:t>pozostałych wydatków bieżących</w:t>
      </w:r>
      <w:r w:rsidR="00F876E3" w:rsidRPr="0058008E">
        <w:rPr>
          <w:rFonts w:ascii="Times New Roman" w:hAnsi="Times New Roman"/>
          <w:b w:val="0"/>
          <w:sz w:val="24"/>
        </w:rPr>
        <w:t>”</w:t>
      </w:r>
      <w:r w:rsidR="00DC4820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C50CE0" w:rsidRPr="0058008E">
        <w:rPr>
          <w:rFonts w:ascii="Times New Roman" w:hAnsi="Times New Roman"/>
          <w:b w:val="0"/>
          <w:i w:val="0"/>
          <w:sz w:val="24"/>
        </w:rPr>
        <w:t>W</w:t>
      </w:r>
      <w:r w:rsidR="00FB6958" w:rsidRPr="0058008E">
        <w:rPr>
          <w:rFonts w:ascii="Times New Roman" w:hAnsi="Times New Roman"/>
          <w:b w:val="0"/>
          <w:i w:val="0"/>
          <w:sz w:val="24"/>
        </w:rPr>
        <w:t>ydatki związane z</w:t>
      </w:r>
      <w:r w:rsidR="00FD78DC" w:rsidRPr="0058008E">
        <w:rPr>
          <w:rFonts w:ascii="Times New Roman" w:hAnsi="Times New Roman"/>
          <w:b w:val="0"/>
          <w:i w:val="0"/>
          <w:sz w:val="24"/>
        </w:rPr>
        <w:t xml:space="preserve"> tzw.</w:t>
      </w:r>
      <w:r w:rsidR="00FB695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C3944" w:rsidRPr="0058008E">
        <w:rPr>
          <w:rFonts w:ascii="Times New Roman" w:hAnsi="Times New Roman"/>
          <w:b w:val="0"/>
          <w:i w:val="0"/>
          <w:sz w:val="24"/>
        </w:rPr>
        <w:t>„</w:t>
      </w:r>
      <w:r w:rsidR="00BB6980" w:rsidRPr="0058008E">
        <w:rPr>
          <w:rFonts w:ascii="Times New Roman" w:hAnsi="Times New Roman"/>
          <w:b w:val="0"/>
          <w:sz w:val="24"/>
        </w:rPr>
        <w:t>różnymi opłatami</w:t>
      </w:r>
      <w:r w:rsidR="009C3944" w:rsidRPr="0058008E">
        <w:rPr>
          <w:rFonts w:ascii="Times New Roman" w:hAnsi="Times New Roman"/>
          <w:b w:val="0"/>
          <w:i w:val="0"/>
          <w:sz w:val="24"/>
        </w:rPr>
        <w:t>”</w:t>
      </w:r>
      <w:r w:rsidR="00B77C7B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2146D" w:rsidRPr="0058008E">
        <w:rPr>
          <w:rFonts w:ascii="Times New Roman" w:hAnsi="Times New Roman"/>
          <w:b w:val="0"/>
          <w:i w:val="0"/>
          <w:sz w:val="24"/>
        </w:rPr>
        <w:t>(</w:t>
      </w:r>
      <w:r w:rsidR="00A23F93" w:rsidRPr="0058008E">
        <w:rPr>
          <w:rFonts w:ascii="Times New Roman" w:hAnsi="Times New Roman"/>
          <w:b w:val="0"/>
          <w:i w:val="0"/>
          <w:sz w:val="24"/>
        </w:rPr>
        <w:t>1</w:t>
      </w:r>
      <w:r w:rsidR="00992742" w:rsidRPr="0058008E">
        <w:rPr>
          <w:rFonts w:ascii="Times New Roman" w:hAnsi="Times New Roman"/>
          <w:b w:val="0"/>
          <w:i w:val="0"/>
          <w:sz w:val="24"/>
        </w:rPr>
        <w:t>5</w:t>
      </w:r>
      <w:r w:rsidR="00A23F93" w:rsidRPr="0058008E">
        <w:rPr>
          <w:rFonts w:ascii="Times New Roman" w:hAnsi="Times New Roman"/>
          <w:b w:val="0"/>
          <w:i w:val="0"/>
          <w:sz w:val="24"/>
        </w:rPr>
        <w:t>,</w:t>
      </w:r>
      <w:r w:rsidR="00992742" w:rsidRPr="0058008E">
        <w:rPr>
          <w:rFonts w:ascii="Times New Roman" w:hAnsi="Times New Roman"/>
          <w:b w:val="0"/>
          <w:i w:val="0"/>
          <w:sz w:val="24"/>
        </w:rPr>
        <w:t>3</w:t>
      </w:r>
      <w:r w:rsidR="0092146D" w:rsidRPr="0058008E">
        <w:rPr>
          <w:rFonts w:ascii="Times New Roman" w:hAnsi="Times New Roman"/>
          <w:b w:val="0"/>
          <w:i w:val="0"/>
          <w:sz w:val="24"/>
        </w:rPr>
        <w:t xml:space="preserve"> mln </w:t>
      </w:r>
      <w:r w:rsidR="00D37D2A" w:rsidRPr="0058008E">
        <w:rPr>
          <w:rFonts w:ascii="Times New Roman" w:hAnsi="Times New Roman"/>
          <w:b w:val="0"/>
          <w:i w:val="0"/>
          <w:sz w:val="24"/>
        </w:rPr>
        <w:t>zł) obejmowały</w:t>
      </w:r>
      <w:r w:rsidR="001E75D8" w:rsidRPr="0058008E">
        <w:rPr>
          <w:rFonts w:ascii="Times New Roman" w:hAnsi="Times New Roman"/>
          <w:b w:val="0"/>
          <w:i w:val="0"/>
          <w:sz w:val="24"/>
        </w:rPr>
        <w:t xml:space="preserve"> przede wszystkim</w:t>
      </w:r>
      <w:r w:rsidR="000F232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E45DE7" w:rsidRPr="0058008E">
        <w:rPr>
          <w:rFonts w:ascii="Times New Roman" w:hAnsi="Times New Roman"/>
          <w:b w:val="0"/>
          <w:i w:val="0"/>
          <w:sz w:val="24"/>
        </w:rPr>
        <w:t>obowiązkowy odpis na ZFŚS we wszystkich jednostkach organizacyjnych miasta</w:t>
      </w:r>
      <w:r w:rsidR="00A32F7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92742" w:rsidRPr="0058008E">
        <w:rPr>
          <w:rFonts w:ascii="Times New Roman" w:hAnsi="Times New Roman"/>
          <w:b w:val="0"/>
          <w:i w:val="0"/>
          <w:sz w:val="24"/>
        </w:rPr>
        <w:t>7,3</w:t>
      </w:r>
      <w:r w:rsidR="00A32F7C" w:rsidRPr="00580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E45DE7" w:rsidRPr="0058008E">
        <w:rPr>
          <w:rFonts w:ascii="Times New Roman" w:hAnsi="Times New Roman"/>
          <w:b w:val="0"/>
          <w:i w:val="0"/>
          <w:sz w:val="24"/>
        </w:rPr>
        <w:t xml:space="preserve">. </w:t>
      </w:r>
      <w:r w:rsidR="009326B0" w:rsidRPr="0058008E">
        <w:rPr>
          <w:rFonts w:ascii="Times New Roman" w:hAnsi="Times New Roman"/>
          <w:b w:val="0"/>
          <w:i w:val="0"/>
          <w:sz w:val="24"/>
        </w:rPr>
        <w:t>P</w:t>
      </w:r>
      <w:r w:rsidR="00B80179" w:rsidRPr="0058008E">
        <w:rPr>
          <w:rFonts w:ascii="Times New Roman" w:hAnsi="Times New Roman"/>
          <w:b w:val="0"/>
          <w:i w:val="0"/>
          <w:sz w:val="24"/>
        </w:rPr>
        <w:t>ozostałe wydatki były</w:t>
      </w:r>
      <w:r w:rsidR="0092146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B80179" w:rsidRPr="0058008E">
        <w:rPr>
          <w:rFonts w:ascii="Times New Roman" w:hAnsi="Times New Roman"/>
          <w:b w:val="0"/>
          <w:i w:val="0"/>
          <w:sz w:val="24"/>
        </w:rPr>
        <w:t xml:space="preserve">kosztami </w:t>
      </w:r>
      <w:r w:rsidR="00472A95" w:rsidRPr="0058008E">
        <w:rPr>
          <w:rFonts w:ascii="Times New Roman" w:hAnsi="Times New Roman"/>
          <w:b w:val="0"/>
          <w:i w:val="0"/>
          <w:sz w:val="24"/>
        </w:rPr>
        <w:t>funkcjonowania</w:t>
      </w:r>
      <w:r w:rsidR="00B80179" w:rsidRPr="0058008E">
        <w:rPr>
          <w:rFonts w:ascii="Times New Roman" w:hAnsi="Times New Roman"/>
          <w:b w:val="0"/>
          <w:i w:val="0"/>
          <w:sz w:val="24"/>
        </w:rPr>
        <w:t xml:space="preserve"> jednostek organizacyjnych</w:t>
      </w:r>
      <w:r w:rsidR="00472A95" w:rsidRPr="0058008E">
        <w:rPr>
          <w:rFonts w:ascii="Times New Roman" w:hAnsi="Times New Roman"/>
          <w:b w:val="0"/>
          <w:i w:val="0"/>
          <w:sz w:val="24"/>
        </w:rPr>
        <w:t>.</w:t>
      </w:r>
      <w:r w:rsidR="00B8017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72A95" w:rsidRPr="0058008E">
        <w:rPr>
          <w:rFonts w:ascii="Times New Roman" w:hAnsi="Times New Roman"/>
          <w:b w:val="0"/>
          <w:i w:val="0"/>
          <w:sz w:val="24"/>
        </w:rPr>
        <w:t>O</w:t>
      </w:r>
      <w:r w:rsidR="00B80179" w:rsidRPr="0058008E">
        <w:rPr>
          <w:rFonts w:ascii="Times New Roman" w:hAnsi="Times New Roman"/>
          <w:b w:val="0"/>
          <w:i w:val="0"/>
          <w:sz w:val="24"/>
        </w:rPr>
        <w:t>bejmowały</w:t>
      </w:r>
      <w:r w:rsidR="00E45DE7" w:rsidRPr="0058008E">
        <w:rPr>
          <w:rFonts w:ascii="Times New Roman" w:hAnsi="Times New Roman"/>
          <w:b w:val="0"/>
          <w:i w:val="0"/>
          <w:sz w:val="24"/>
        </w:rPr>
        <w:t>:</w:t>
      </w:r>
      <w:r w:rsidR="00B8017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D1C35" w:rsidRPr="0058008E">
        <w:rPr>
          <w:rFonts w:ascii="Times New Roman" w:hAnsi="Times New Roman"/>
          <w:b w:val="0"/>
          <w:i w:val="0"/>
          <w:sz w:val="24"/>
        </w:rPr>
        <w:t>z</w:t>
      </w:r>
      <w:r w:rsidR="00A51238" w:rsidRPr="0058008E">
        <w:rPr>
          <w:rFonts w:ascii="Times New Roman" w:hAnsi="Times New Roman"/>
          <w:b w:val="0"/>
          <w:i w:val="0"/>
          <w:sz w:val="24"/>
        </w:rPr>
        <w:t xml:space="preserve">akup </w:t>
      </w:r>
      <w:r w:rsidR="007E6633" w:rsidRPr="0058008E">
        <w:rPr>
          <w:rFonts w:ascii="Times New Roman" w:hAnsi="Times New Roman"/>
          <w:b w:val="0"/>
          <w:i w:val="0"/>
          <w:sz w:val="24"/>
        </w:rPr>
        <w:t>żywności, usług zdrowotnych oraz wyposażenia</w:t>
      </w:r>
      <w:r w:rsidR="0055372B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92146D" w:rsidRPr="0058008E">
        <w:rPr>
          <w:rFonts w:ascii="Times New Roman" w:hAnsi="Times New Roman"/>
          <w:b w:val="0"/>
          <w:i w:val="0"/>
          <w:sz w:val="24"/>
        </w:rPr>
        <w:t xml:space="preserve">oraz pomocy dydaktycznych </w:t>
      </w:r>
      <w:r w:rsidR="0055372B" w:rsidRPr="0058008E">
        <w:rPr>
          <w:rFonts w:ascii="Times New Roman" w:hAnsi="Times New Roman"/>
          <w:b w:val="0"/>
          <w:i w:val="0"/>
          <w:sz w:val="24"/>
        </w:rPr>
        <w:t>(</w:t>
      </w:r>
      <w:r w:rsidR="00992742" w:rsidRPr="0058008E">
        <w:rPr>
          <w:rFonts w:ascii="Times New Roman" w:hAnsi="Times New Roman"/>
          <w:b w:val="0"/>
          <w:i w:val="0"/>
          <w:sz w:val="24"/>
        </w:rPr>
        <w:t>81,9</w:t>
      </w:r>
      <w:r w:rsidR="0055372B" w:rsidRPr="0058008E">
        <w:rPr>
          <w:rFonts w:ascii="Times New Roman" w:hAnsi="Times New Roman"/>
          <w:b w:val="0"/>
          <w:i w:val="0"/>
          <w:sz w:val="24"/>
        </w:rPr>
        <w:t xml:space="preserve"> mln zł)</w:t>
      </w:r>
      <w:r w:rsidR="00B80179" w:rsidRPr="0058008E">
        <w:rPr>
          <w:rFonts w:ascii="Times New Roman" w:hAnsi="Times New Roman"/>
          <w:b w:val="0"/>
          <w:i w:val="0"/>
          <w:sz w:val="24"/>
        </w:rPr>
        <w:t xml:space="preserve">, </w:t>
      </w:r>
      <w:r w:rsidR="00074143" w:rsidRPr="0058008E">
        <w:rPr>
          <w:rFonts w:ascii="Times New Roman" w:hAnsi="Times New Roman"/>
          <w:b w:val="0"/>
          <w:i w:val="0"/>
          <w:sz w:val="24"/>
        </w:rPr>
        <w:t>koszty</w:t>
      </w:r>
      <w:r w:rsidR="00074143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074143" w:rsidRPr="0058008E">
        <w:rPr>
          <w:rFonts w:ascii="Times New Roman" w:hAnsi="Times New Roman"/>
          <w:b w:val="0"/>
          <w:i w:val="0"/>
          <w:sz w:val="24"/>
        </w:rPr>
        <w:t>opłat za korzystanie z telefonii</w:t>
      </w:r>
      <w:r w:rsidR="00FD1C35" w:rsidRPr="0058008E">
        <w:rPr>
          <w:rFonts w:ascii="Times New Roman" w:hAnsi="Times New Roman"/>
          <w:b w:val="0"/>
          <w:i w:val="0"/>
          <w:sz w:val="24"/>
        </w:rPr>
        <w:t xml:space="preserve"> komórkowej i </w:t>
      </w:r>
      <w:r w:rsidR="0022750A" w:rsidRPr="0058008E">
        <w:rPr>
          <w:rFonts w:ascii="Times New Roman" w:hAnsi="Times New Roman"/>
          <w:b w:val="0"/>
          <w:i w:val="0"/>
          <w:sz w:val="24"/>
        </w:rPr>
        <w:t>stacjonarnej,</w:t>
      </w:r>
      <w:r w:rsidR="00074143" w:rsidRPr="0058008E">
        <w:rPr>
          <w:rFonts w:ascii="Times New Roman" w:hAnsi="Times New Roman"/>
          <w:b w:val="0"/>
          <w:i w:val="0"/>
          <w:sz w:val="24"/>
        </w:rPr>
        <w:t xml:space="preserve"> dostępu do usług internetowych</w:t>
      </w:r>
      <w:r w:rsidR="00D12B14" w:rsidRPr="0058008E">
        <w:rPr>
          <w:rFonts w:ascii="Times New Roman" w:hAnsi="Times New Roman"/>
          <w:b w:val="0"/>
          <w:i w:val="0"/>
          <w:sz w:val="24"/>
        </w:rPr>
        <w:t xml:space="preserve"> (0,</w:t>
      </w:r>
      <w:r w:rsidR="00992742" w:rsidRPr="0058008E">
        <w:rPr>
          <w:rFonts w:ascii="Times New Roman" w:hAnsi="Times New Roman"/>
          <w:b w:val="0"/>
          <w:i w:val="0"/>
          <w:sz w:val="24"/>
        </w:rPr>
        <w:t>5</w:t>
      </w:r>
      <w:r w:rsidR="00D12B14" w:rsidRPr="0058008E">
        <w:rPr>
          <w:rFonts w:ascii="Times New Roman" w:hAnsi="Times New Roman"/>
          <w:b w:val="0"/>
          <w:i w:val="0"/>
          <w:sz w:val="24"/>
        </w:rPr>
        <w:t xml:space="preserve"> mln zł), opłaty za szkolenia (</w:t>
      </w:r>
      <w:r w:rsidR="00992742" w:rsidRPr="0058008E">
        <w:rPr>
          <w:rFonts w:ascii="Times New Roman" w:hAnsi="Times New Roman"/>
          <w:b w:val="0"/>
          <w:i w:val="0"/>
          <w:sz w:val="24"/>
        </w:rPr>
        <w:t>1,0</w:t>
      </w:r>
      <w:r w:rsidR="00D12B14" w:rsidRPr="0058008E">
        <w:rPr>
          <w:rFonts w:ascii="Times New Roman" w:hAnsi="Times New Roman"/>
          <w:b w:val="0"/>
          <w:i w:val="0"/>
          <w:sz w:val="24"/>
        </w:rPr>
        <w:t xml:space="preserve"> mln zł)</w:t>
      </w:r>
      <w:r w:rsidR="00C61594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6455B562" w14:textId="77777777" w:rsidR="00591BC3" w:rsidRPr="0058008E" w:rsidRDefault="00591BC3" w:rsidP="00E45DE7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5D0E3FEA" w14:textId="123802E8" w:rsidR="005C4F4F" w:rsidRPr="0058008E" w:rsidRDefault="00982124" w:rsidP="005C4F4F">
      <w:pPr>
        <w:tabs>
          <w:tab w:val="right" w:pos="4680"/>
        </w:tabs>
        <w:jc w:val="both"/>
        <w:rPr>
          <w:rFonts w:eastAsia="Calibri"/>
          <w:lang w:eastAsia="en-US"/>
        </w:rPr>
      </w:pPr>
      <w:r w:rsidRPr="0058008E">
        <w:rPr>
          <w:sz w:val="24"/>
          <w:szCs w:val="24"/>
        </w:rPr>
        <w:t>Wydatki</w:t>
      </w:r>
      <w:r w:rsidR="00F876E3" w:rsidRPr="0058008E">
        <w:rPr>
          <w:sz w:val="24"/>
          <w:szCs w:val="24"/>
        </w:rPr>
        <w:t xml:space="preserve"> </w:t>
      </w:r>
      <w:r w:rsidR="00C33888" w:rsidRPr="0058008E">
        <w:rPr>
          <w:sz w:val="24"/>
          <w:szCs w:val="24"/>
        </w:rPr>
        <w:t>majątkow</w:t>
      </w:r>
      <w:r w:rsidRPr="0058008E">
        <w:rPr>
          <w:sz w:val="24"/>
          <w:szCs w:val="24"/>
        </w:rPr>
        <w:t>e</w:t>
      </w:r>
      <w:r w:rsidR="00C33888" w:rsidRPr="0058008E">
        <w:rPr>
          <w:sz w:val="24"/>
          <w:szCs w:val="24"/>
        </w:rPr>
        <w:t xml:space="preserve"> </w:t>
      </w:r>
      <w:r w:rsidR="00E47733" w:rsidRPr="0058008E">
        <w:rPr>
          <w:sz w:val="24"/>
          <w:szCs w:val="24"/>
        </w:rPr>
        <w:t>to</w:t>
      </w:r>
      <w:r w:rsidR="00E00130" w:rsidRPr="0058008E">
        <w:rPr>
          <w:sz w:val="24"/>
          <w:szCs w:val="24"/>
        </w:rPr>
        <w:t xml:space="preserve"> m.in.:</w:t>
      </w:r>
      <w:r w:rsidR="00E47733" w:rsidRPr="0058008E">
        <w:rPr>
          <w:sz w:val="24"/>
          <w:szCs w:val="24"/>
        </w:rPr>
        <w:t xml:space="preserve"> </w:t>
      </w:r>
      <w:r w:rsidR="003068E6" w:rsidRPr="0058008E">
        <w:rPr>
          <w:sz w:val="24"/>
          <w:szCs w:val="24"/>
        </w:rPr>
        <w:t>modernizacja z</w:t>
      </w:r>
      <w:r w:rsidR="00E47733" w:rsidRPr="0058008E">
        <w:rPr>
          <w:sz w:val="24"/>
          <w:szCs w:val="24"/>
        </w:rPr>
        <w:t xml:space="preserve">asobów komunalnych (ROM-y) - </w:t>
      </w:r>
      <w:r w:rsidR="00955CA1" w:rsidRPr="0058008E">
        <w:rPr>
          <w:b/>
          <w:i/>
          <w:sz w:val="24"/>
          <w:szCs w:val="24"/>
        </w:rPr>
        <w:t>4</w:t>
      </w:r>
      <w:r w:rsidR="00E47733" w:rsidRPr="0058008E">
        <w:rPr>
          <w:sz w:val="24"/>
          <w:szCs w:val="24"/>
        </w:rPr>
        <w:t>,</w:t>
      </w:r>
      <w:r w:rsidR="00955CA1" w:rsidRPr="0058008E">
        <w:rPr>
          <w:b/>
          <w:i/>
          <w:sz w:val="24"/>
          <w:szCs w:val="24"/>
        </w:rPr>
        <w:t>5</w:t>
      </w:r>
      <w:r w:rsidR="00E47733" w:rsidRPr="0058008E">
        <w:rPr>
          <w:sz w:val="24"/>
          <w:szCs w:val="24"/>
        </w:rPr>
        <w:t xml:space="preserve"> mln zł, </w:t>
      </w:r>
      <w:r w:rsidR="001B7922" w:rsidRPr="0058008E">
        <w:rPr>
          <w:sz w:val="24"/>
          <w:szCs w:val="24"/>
        </w:rPr>
        <w:t>budow</w:t>
      </w:r>
      <w:r w:rsidR="00DF68F3" w:rsidRPr="0058008E">
        <w:rPr>
          <w:sz w:val="24"/>
          <w:szCs w:val="24"/>
        </w:rPr>
        <w:t>nictwo komunalne</w:t>
      </w:r>
      <w:r w:rsidR="00E47733" w:rsidRPr="0058008E">
        <w:rPr>
          <w:sz w:val="24"/>
          <w:szCs w:val="24"/>
        </w:rPr>
        <w:t xml:space="preserve"> – </w:t>
      </w:r>
      <w:r w:rsidR="00955CA1" w:rsidRPr="0058008E">
        <w:rPr>
          <w:b/>
          <w:i/>
          <w:sz w:val="24"/>
          <w:szCs w:val="24"/>
        </w:rPr>
        <w:t>4,4</w:t>
      </w:r>
      <w:r w:rsidR="00E47733" w:rsidRPr="0058008E">
        <w:rPr>
          <w:sz w:val="24"/>
          <w:szCs w:val="24"/>
        </w:rPr>
        <w:t xml:space="preserve"> mln zł. </w:t>
      </w:r>
      <w:r w:rsidR="00890985" w:rsidRPr="0058008E">
        <w:rPr>
          <w:sz w:val="24"/>
          <w:szCs w:val="24"/>
        </w:rPr>
        <w:t>Inwestycje z zakresu infrastruktury drogo</w:t>
      </w:r>
      <w:r w:rsidR="00E028D7" w:rsidRPr="0058008E">
        <w:rPr>
          <w:sz w:val="24"/>
          <w:szCs w:val="24"/>
        </w:rPr>
        <w:t>wej kosztowały</w:t>
      </w:r>
      <w:r w:rsidR="00E47733" w:rsidRPr="0058008E">
        <w:rPr>
          <w:sz w:val="24"/>
          <w:szCs w:val="24"/>
        </w:rPr>
        <w:t xml:space="preserve"> </w:t>
      </w:r>
      <w:r w:rsidR="005C4F4F" w:rsidRPr="0058008E">
        <w:rPr>
          <w:b/>
          <w:i/>
          <w:sz w:val="24"/>
          <w:szCs w:val="24"/>
        </w:rPr>
        <w:t>17</w:t>
      </w:r>
      <w:r w:rsidR="000E637F" w:rsidRPr="0058008E">
        <w:rPr>
          <w:sz w:val="24"/>
          <w:szCs w:val="24"/>
        </w:rPr>
        <w:t>,</w:t>
      </w:r>
      <w:r w:rsidR="005C4F4F" w:rsidRPr="0058008E">
        <w:rPr>
          <w:b/>
          <w:i/>
          <w:sz w:val="24"/>
          <w:szCs w:val="24"/>
        </w:rPr>
        <w:t xml:space="preserve">8 </w:t>
      </w:r>
      <w:r w:rsidR="00890985" w:rsidRPr="0058008E">
        <w:rPr>
          <w:sz w:val="24"/>
          <w:szCs w:val="24"/>
        </w:rPr>
        <w:t>mln, a na zadania z zakresu</w:t>
      </w:r>
      <w:r w:rsidR="00AD2265" w:rsidRPr="0058008E">
        <w:rPr>
          <w:sz w:val="24"/>
          <w:szCs w:val="24"/>
        </w:rPr>
        <w:t xml:space="preserve"> </w:t>
      </w:r>
      <w:r w:rsidR="00890985" w:rsidRPr="0058008E">
        <w:rPr>
          <w:sz w:val="24"/>
          <w:szCs w:val="24"/>
        </w:rPr>
        <w:t>gospo</w:t>
      </w:r>
      <w:r w:rsidR="00E47733" w:rsidRPr="0058008E">
        <w:rPr>
          <w:sz w:val="24"/>
          <w:szCs w:val="24"/>
        </w:rPr>
        <w:t xml:space="preserve">darki komunalnej wydatkowano </w:t>
      </w:r>
      <w:r w:rsidR="00C148E2" w:rsidRPr="0058008E">
        <w:rPr>
          <w:sz w:val="24"/>
          <w:szCs w:val="24"/>
        </w:rPr>
        <w:t>1</w:t>
      </w:r>
      <w:r w:rsidR="005C4F4F" w:rsidRPr="0058008E">
        <w:rPr>
          <w:b/>
          <w:i/>
          <w:sz w:val="24"/>
          <w:szCs w:val="24"/>
        </w:rPr>
        <w:t>6</w:t>
      </w:r>
      <w:r w:rsidR="00C148E2" w:rsidRPr="0058008E">
        <w:rPr>
          <w:sz w:val="24"/>
          <w:szCs w:val="24"/>
        </w:rPr>
        <w:t>,2</w:t>
      </w:r>
      <w:r w:rsidR="00890985" w:rsidRPr="0058008E">
        <w:rPr>
          <w:sz w:val="24"/>
          <w:szCs w:val="24"/>
        </w:rPr>
        <w:t xml:space="preserve"> mln</w:t>
      </w:r>
      <w:r w:rsidR="00E47733" w:rsidRPr="0058008E">
        <w:rPr>
          <w:sz w:val="24"/>
          <w:szCs w:val="24"/>
        </w:rPr>
        <w:t xml:space="preserve">. </w:t>
      </w:r>
      <w:r w:rsidR="003068E6" w:rsidRPr="0058008E">
        <w:rPr>
          <w:sz w:val="24"/>
          <w:szCs w:val="24"/>
        </w:rPr>
        <w:t xml:space="preserve">Na zadania z zakresu sportu </w:t>
      </w:r>
      <w:r w:rsidR="009C313C" w:rsidRPr="0058008E">
        <w:rPr>
          <w:sz w:val="24"/>
          <w:szCs w:val="24"/>
        </w:rPr>
        <w:t xml:space="preserve">i rekreacji </w:t>
      </w:r>
      <w:r w:rsidR="00E47733" w:rsidRPr="0058008E">
        <w:rPr>
          <w:sz w:val="24"/>
          <w:szCs w:val="24"/>
        </w:rPr>
        <w:t xml:space="preserve">wydano </w:t>
      </w:r>
      <w:r w:rsidR="00C148E2" w:rsidRPr="0058008E">
        <w:rPr>
          <w:sz w:val="24"/>
          <w:szCs w:val="24"/>
        </w:rPr>
        <w:t>1,</w:t>
      </w:r>
      <w:r w:rsidR="005C4F4F" w:rsidRPr="0058008E">
        <w:rPr>
          <w:b/>
          <w:i/>
          <w:sz w:val="24"/>
          <w:szCs w:val="24"/>
        </w:rPr>
        <w:t>1</w:t>
      </w:r>
      <w:r w:rsidR="00E028D7" w:rsidRPr="0058008E">
        <w:rPr>
          <w:sz w:val="24"/>
          <w:szCs w:val="24"/>
        </w:rPr>
        <w:t xml:space="preserve"> mln zł</w:t>
      </w:r>
      <w:r w:rsidR="009C313C" w:rsidRPr="0058008E">
        <w:rPr>
          <w:sz w:val="24"/>
          <w:szCs w:val="24"/>
        </w:rPr>
        <w:t xml:space="preserve"> (place zabaw dla dzieci, </w:t>
      </w:r>
      <w:r w:rsidR="00022848" w:rsidRPr="0058008E">
        <w:rPr>
          <w:sz w:val="24"/>
          <w:szCs w:val="24"/>
        </w:rPr>
        <w:t>prace modernizacyjne na molo</w:t>
      </w:r>
      <w:r w:rsidR="00DF68F3" w:rsidRPr="0058008E">
        <w:rPr>
          <w:sz w:val="24"/>
          <w:szCs w:val="24"/>
        </w:rPr>
        <w:t xml:space="preserve"> plaży boiskach</w:t>
      </w:r>
      <w:r w:rsidR="009C313C" w:rsidRPr="0058008E">
        <w:rPr>
          <w:sz w:val="24"/>
          <w:szCs w:val="24"/>
        </w:rPr>
        <w:t>)</w:t>
      </w:r>
      <w:r w:rsidR="00E028D7" w:rsidRPr="0058008E">
        <w:rPr>
          <w:sz w:val="24"/>
          <w:szCs w:val="24"/>
        </w:rPr>
        <w:t xml:space="preserve">. </w:t>
      </w:r>
      <w:r w:rsidR="00E84466" w:rsidRPr="0058008E">
        <w:rPr>
          <w:sz w:val="24"/>
          <w:szCs w:val="24"/>
        </w:rPr>
        <w:t>Podwyższenie</w:t>
      </w:r>
      <w:r w:rsidR="00E028D7" w:rsidRPr="0058008E">
        <w:rPr>
          <w:sz w:val="24"/>
          <w:szCs w:val="24"/>
        </w:rPr>
        <w:t xml:space="preserve"> udziałów w </w:t>
      </w:r>
      <w:r w:rsidR="00E84466" w:rsidRPr="0058008E">
        <w:rPr>
          <w:sz w:val="24"/>
          <w:szCs w:val="24"/>
        </w:rPr>
        <w:t>spółkach</w:t>
      </w:r>
      <w:r w:rsidR="00E47733" w:rsidRPr="0058008E">
        <w:rPr>
          <w:sz w:val="24"/>
          <w:szCs w:val="24"/>
        </w:rPr>
        <w:t xml:space="preserve"> to wydatek w kwocie łącznej </w:t>
      </w:r>
      <w:r w:rsidR="005C4F4F" w:rsidRPr="0058008E">
        <w:rPr>
          <w:b/>
          <w:i/>
          <w:sz w:val="24"/>
          <w:szCs w:val="24"/>
        </w:rPr>
        <w:t>1</w:t>
      </w:r>
      <w:r w:rsidR="00022848" w:rsidRPr="0058008E">
        <w:rPr>
          <w:sz w:val="24"/>
          <w:szCs w:val="24"/>
        </w:rPr>
        <w:t>,</w:t>
      </w:r>
      <w:r w:rsidR="005C4F4F" w:rsidRPr="0058008E">
        <w:rPr>
          <w:b/>
          <w:i/>
          <w:sz w:val="24"/>
          <w:szCs w:val="24"/>
        </w:rPr>
        <w:t>3</w:t>
      </w:r>
      <w:r w:rsidR="00E47733" w:rsidRPr="0058008E">
        <w:rPr>
          <w:sz w:val="24"/>
          <w:szCs w:val="24"/>
        </w:rPr>
        <w:t xml:space="preserve"> mln zł</w:t>
      </w:r>
      <w:r w:rsidR="00DE198A" w:rsidRPr="0058008E">
        <w:rPr>
          <w:sz w:val="24"/>
          <w:szCs w:val="24"/>
        </w:rPr>
        <w:t xml:space="preserve"> </w:t>
      </w:r>
      <w:r w:rsidR="00E00130" w:rsidRPr="0058008E">
        <w:rPr>
          <w:sz w:val="24"/>
          <w:szCs w:val="24"/>
        </w:rPr>
        <w:t>(</w:t>
      </w:r>
      <w:r w:rsidR="00B230B7" w:rsidRPr="0058008E">
        <w:rPr>
          <w:sz w:val="24"/>
          <w:szCs w:val="24"/>
        </w:rPr>
        <w:t xml:space="preserve">Pomorskie </w:t>
      </w:r>
      <w:r w:rsidR="00DE198A" w:rsidRPr="0058008E">
        <w:rPr>
          <w:sz w:val="24"/>
          <w:szCs w:val="24"/>
        </w:rPr>
        <w:t xml:space="preserve">Centrum </w:t>
      </w:r>
      <w:r w:rsidR="00B230B7" w:rsidRPr="0058008E">
        <w:rPr>
          <w:sz w:val="24"/>
          <w:szCs w:val="24"/>
        </w:rPr>
        <w:t>Reumatologiczne</w:t>
      </w:r>
      <w:r w:rsidR="00DE198A" w:rsidRPr="0058008E">
        <w:rPr>
          <w:sz w:val="24"/>
          <w:szCs w:val="24"/>
        </w:rPr>
        <w:t xml:space="preserve">, </w:t>
      </w:r>
      <w:r w:rsidR="005C4F4F" w:rsidRPr="0058008E">
        <w:rPr>
          <w:sz w:val="24"/>
          <w:szCs w:val="24"/>
        </w:rPr>
        <w:t>Uzdrowisko Sopot</w:t>
      </w:r>
      <w:r w:rsidR="005C4F4F" w:rsidRPr="0058008E">
        <w:rPr>
          <w:rFonts w:eastAsia="Calibri"/>
          <w:sz w:val="24"/>
          <w:szCs w:val="24"/>
          <w:lang w:eastAsia="en-US"/>
        </w:rPr>
        <w:t>, Hala Gdańsk-Sopot sp. z o.o.)</w:t>
      </w:r>
    </w:p>
    <w:p w14:paraId="06E4854E" w14:textId="54DDB5CF" w:rsidR="003A76D1" w:rsidRPr="0080359A" w:rsidRDefault="00E00130" w:rsidP="0080359A">
      <w:pPr>
        <w:widowControl w:val="0"/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Cs/>
          <w:iCs/>
          <w:sz w:val="24"/>
          <w:szCs w:val="24"/>
          <w:lang w:eastAsia="ar-SA"/>
        </w:rPr>
      </w:pPr>
      <w:r w:rsidRPr="0058008E">
        <w:rPr>
          <w:sz w:val="24"/>
          <w:szCs w:val="24"/>
        </w:rPr>
        <w:t>Z</w:t>
      </w:r>
      <w:r w:rsidR="00E47733" w:rsidRPr="0058008E">
        <w:rPr>
          <w:sz w:val="24"/>
          <w:szCs w:val="24"/>
        </w:rPr>
        <w:t xml:space="preserve">akupy inwestycyjne </w:t>
      </w:r>
      <w:r w:rsidR="00DE198A" w:rsidRPr="0058008E">
        <w:rPr>
          <w:sz w:val="24"/>
          <w:szCs w:val="24"/>
        </w:rPr>
        <w:t>wyniosły</w:t>
      </w:r>
      <w:r w:rsidR="008D5731" w:rsidRPr="0058008E">
        <w:rPr>
          <w:sz w:val="24"/>
          <w:szCs w:val="24"/>
        </w:rPr>
        <w:t xml:space="preserve"> </w:t>
      </w:r>
      <w:r w:rsidR="00C148E2" w:rsidRPr="0058008E">
        <w:rPr>
          <w:sz w:val="24"/>
          <w:szCs w:val="24"/>
        </w:rPr>
        <w:t>2,</w:t>
      </w:r>
      <w:r w:rsidR="00451655" w:rsidRPr="0058008E">
        <w:rPr>
          <w:sz w:val="24"/>
          <w:szCs w:val="24"/>
        </w:rPr>
        <w:t>2</w:t>
      </w:r>
      <w:r w:rsidR="008D5731" w:rsidRPr="0058008E">
        <w:rPr>
          <w:sz w:val="24"/>
          <w:szCs w:val="24"/>
        </w:rPr>
        <w:t xml:space="preserve"> mln zł</w:t>
      </w:r>
      <w:r w:rsidR="008D5731" w:rsidRPr="009D4160">
        <w:rPr>
          <w:sz w:val="24"/>
          <w:szCs w:val="24"/>
        </w:rPr>
        <w:t xml:space="preserve">, z której </w:t>
      </w:r>
      <w:r w:rsidR="00317BFA" w:rsidRPr="009D4160">
        <w:rPr>
          <w:sz w:val="24"/>
          <w:szCs w:val="24"/>
        </w:rPr>
        <w:t>poniesiono wydatki</w:t>
      </w:r>
      <w:r w:rsidR="009D4160">
        <w:rPr>
          <w:b/>
          <w:i/>
          <w:sz w:val="24"/>
          <w:szCs w:val="24"/>
        </w:rPr>
        <w:t xml:space="preserve"> </w:t>
      </w:r>
      <w:r w:rsidR="009D4160" w:rsidRPr="0080359A">
        <w:rPr>
          <w:bCs/>
          <w:iCs/>
          <w:sz w:val="24"/>
          <w:szCs w:val="24"/>
        </w:rPr>
        <w:t xml:space="preserve">na zakup </w:t>
      </w:r>
      <w:proofErr w:type="spellStart"/>
      <w:r w:rsidR="009D4160" w:rsidRPr="0080359A">
        <w:rPr>
          <w:bCs/>
          <w:iCs/>
          <w:sz w:val="24"/>
          <w:szCs w:val="24"/>
        </w:rPr>
        <w:t>recyklera</w:t>
      </w:r>
      <w:proofErr w:type="spellEnd"/>
      <w:r w:rsidR="009D4160" w:rsidRPr="0080359A">
        <w:rPr>
          <w:bCs/>
          <w:iCs/>
          <w:sz w:val="24"/>
          <w:szCs w:val="24"/>
        </w:rPr>
        <w:t xml:space="preserve"> </w:t>
      </w:r>
      <w:r w:rsidR="009D4160" w:rsidRPr="0080359A">
        <w:rPr>
          <w:bCs/>
          <w:iCs/>
          <w:sz w:val="24"/>
          <w:szCs w:val="24"/>
        </w:rPr>
        <w:br/>
        <w:t xml:space="preserve">i skrapiarki, </w:t>
      </w:r>
      <w:r w:rsidR="009D4160" w:rsidRPr="0080359A">
        <w:rPr>
          <w:rFonts w:eastAsia="Calibri"/>
          <w:bCs/>
          <w:iCs/>
          <w:sz w:val="24"/>
          <w:szCs w:val="24"/>
          <w:lang w:eastAsia="en-US"/>
        </w:rPr>
        <w:t>serwer z oprogramowaniem serwerowym oraz bazodanowym</w:t>
      </w:r>
      <w:r w:rsidR="00187D4F" w:rsidRPr="0080359A">
        <w:rPr>
          <w:bCs/>
          <w:iCs/>
          <w:sz w:val="24"/>
          <w:szCs w:val="24"/>
        </w:rPr>
        <w:t>,</w:t>
      </w:r>
      <w:r w:rsidR="009D4160" w:rsidRPr="0080359A">
        <w:rPr>
          <w:bCs/>
          <w:iCs/>
          <w:sz w:val="24"/>
          <w:szCs w:val="24"/>
        </w:rPr>
        <w:t xml:space="preserve"> na nabycie nieruchomości przy ul. Powstańców Warszawy 8 w drodze pierwokupu,</w:t>
      </w:r>
      <w:r w:rsidR="0080359A" w:rsidRPr="0080359A">
        <w:rPr>
          <w:bCs/>
          <w:iCs/>
          <w:sz w:val="24"/>
          <w:szCs w:val="24"/>
        </w:rPr>
        <w:t xml:space="preserve"> zakup defibrylatora dla Miejskiej Stacji Pogotowia Ratunkowego w Sopocie, </w:t>
      </w:r>
      <w:r w:rsidR="009D4160" w:rsidRPr="0080359A">
        <w:rPr>
          <w:bCs/>
          <w:iCs/>
          <w:sz w:val="24"/>
          <w:szCs w:val="24"/>
        </w:rPr>
        <w:t xml:space="preserve"> </w:t>
      </w:r>
      <w:r w:rsidR="0080359A" w:rsidRPr="0080359A">
        <w:rPr>
          <w:bCs/>
          <w:iCs/>
          <w:sz w:val="24"/>
          <w:szCs w:val="24"/>
        </w:rPr>
        <w:t xml:space="preserve">przeznaczono na zakup cysterny do wody pitnej, systemy stabilizujące </w:t>
      </w:r>
      <w:proofErr w:type="spellStart"/>
      <w:r w:rsidR="0080359A" w:rsidRPr="0080359A">
        <w:rPr>
          <w:bCs/>
          <w:iCs/>
          <w:sz w:val="24"/>
          <w:szCs w:val="24"/>
        </w:rPr>
        <w:t>Paratech</w:t>
      </w:r>
      <w:proofErr w:type="spellEnd"/>
      <w:r w:rsidR="0080359A" w:rsidRPr="0080359A">
        <w:rPr>
          <w:bCs/>
          <w:iCs/>
          <w:sz w:val="24"/>
          <w:szCs w:val="24"/>
        </w:rPr>
        <w:t xml:space="preserve">, agregat prądotwórczy o mocy 30kW, kamery mobilne, </w:t>
      </w:r>
      <w:proofErr w:type="spellStart"/>
      <w:r w:rsidR="0080359A" w:rsidRPr="0080359A">
        <w:rPr>
          <w:bCs/>
          <w:iCs/>
          <w:sz w:val="24"/>
          <w:szCs w:val="24"/>
        </w:rPr>
        <w:t>najasnice</w:t>
      </w:r>
      <w:proofErr w:type="spellEnd"/>
      <w:r w:rsidR="0080359A" w:rsidRPr="0080359A">
        <w:rPr>
          <w:bCs/>
          <w:iCs/>
          <w:sz w:val="24"/>
          <w:szCs w:val="24"/>
        </w:rPr>
        <w:t xml:space="preserve">, rękawy przeciwpowodziowe, samochód Mikrobus Mercedes-Benz dla Straży Miejskiej, zakupu sonometru dla policji, pralnico -wirówkę, podnośnik medyczny, fokę -paro, </w:t>
      </w:r>
      <w:r w:rsidR="0080359A" w:rsidRPr="0080359A">
        <w:rPr>
          <w:bCs/>
          <w:iCs/>
          <w:sz w:val="24"/>
          <w:szCs w:val="24"/>
          <w:lang w:eastAsia="ar-SA"/>
        </w:rPr>
        <w:t xml:space="preserve">zakup dwóch bram garażowych do warsztatu samochodowego, </w:t>
      </w:r>
      <w:r w:rsidR="0080359A" w:rsidRPr="0080359A">
        <w:rPr>
          <w:bCs/>
          <w:iCs/>
          <w:color w:val="000000"/>
          <w:sz w:val="24"/>
          <w:szCs w:val="24"/>
          <w:lang w:eastAsia="en-US"/>
        </w:rPr>
        <w:t>zakup dwóch aparatów RTG, stacjonarnego i stomatologicznego w schronisku</w:t>
      </w:r>
      <w:r w:rsidR="0080359A">
        <w:rPr>
          <w:bCs/>
          <w:iCs/>
          <w:color w:val="000000"/>
          <w:sz w:val="24"/>
          <w:szCs w:val="24"/>
          <w:lang w:eastAsia="en-US"/>
        </w:rPr>
        <w:t xml:space="preserve">, </w:t>
      </w:r>
      <w:r w:rsidR="0080359A" w:rsidRPr="0080359A">
        <w:rPr>
          <w:sz w:val="24"/>
          <w:szCs w:val="24"/>
          <w:lang w:eastAsia="ar-SA"/>
        </w:rPr>
        <w:t>urządzenia z montażem – wybieg dla psów na Błoniach</w:t>
      </w:r>
      <w:r w:rsidR="0080359A">
        <w:rPr>
          <w:sz w:val="24"/>
          <w:szCs w:val="24"/>
          <w:lang w:eastAsia="ar-SA"/>
        </w:rPr>
        <w:t xml:space="preserve">, </w:t>
      </w:r>
      <w:r w:rsidR="00A32F7C" w:rsidRPr="0080359A">
        <w:rPr>
          <w:bCs/>
          <w:iCs/>
          <w:sz w:val="24"/>
          <w:szCs w:val="24"/>
        </w:rPr>
        <w:t xml:space="preserve"> </w:t>
      </w:r>
      <w:r w:rsidR="003E26D2" w:rsidRPr="0080359A">
        <w:rPr>
          <w:bCs/>
          <w:iCs/>
          <w:sz w:val="24"/>
          <w:szCs w:val="24"/>
        </w:rPr>
        <w:t>jak również doposażono placówki oświatowe</w:t>
      </w:r>
      <w:r w:rsidR="00F05FD1" w:rsidRPr="0080359A">
        <w:rPr>
          <w:bCs/>
          <w:iCs/>
          <w:sz w:val="24"/>
          <w:szCs w:val="24"/>
        </w:rPr>
        <w:t xml:space="preserve"> w niezbędny sprzęt</w:t>
      </w:r>
      <w:r w:rsidR="003E26D2" w:rsidRPr="0080359A">
        <w:rPr>
          <w:bCs/>
          <w:iCs/>
          <w:sz w:val="24"/>
          <w:szCs w:val="24"/>
        </w:rPr>
        <w:t>.</w:t>
      </w:r>
      <w:r w:rsidR="00A54B37" w:rsidRPr="0080359A">
        <w:rPr>
          <w:bCs/>
          <w:iCs/>
          <w:sz w:val="24"/>
          <w:szCs w:val="24"/>
        </w:rPr>
        <w:t xml:space="preserve">                                                          </w:t>
      </w:r>
      <w:r w:rsidR="00A54B37" w:rsidRPr="0080359A">
        <w:rPr>
          <w:bCs/>
          <w:iCs/>
          <w:color w:val="EE0000"/>
          <w:sz w:val="24"/>
          <w:szCs w:val="24"/>
        </w:rPr>
        <w:t xml:space="preserve">                       </w:t>
      </w:r>
    </w:p>
    <w:p w14:paraId="6D1238D3" w14:textId="77777777" w:rsidR="003A76D1" w:rsidRPr="0058008E" w:rsidRDefault="003A76D1" w:rsidP="003A76D1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657B6680" w14:textId="77777777" w:rsidR="00D96EA2" w:rsidRDefault="00D96EA2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1A85291D" w14:textId="77777777" w:rsidR="00D96EA2" w:rsidRDefault="00D96EA2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3411CCA5" w14:textId="77777777" w:rsidR="00D96EA2" w:rsidRDefault="00D96EA2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46213E5B" w14:textId="77777777" w:rsidR="00D96EA2" w:rsidRDefault="00D96EA2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3D2EC91C" w14:textId="77777777" w:rsidR="00D96EA2" w:rsidRDefault="00D96EA2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03C2AAC8" w14:textId="77777777" w:rsidR="00D96EA2" w:rsidRDefault="00D96EA2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5187D39B" w14:textId="77777777" w:rsidR="00D96EA2" w:rsidRDefault="00D96EA2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0D7405BC" w14:textId="77777777" w:rsidR="00D96EA2" w:rsidRDefault="00D96EA2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7C4E504D" w14:textId="62CDD512" w:rsidR="0073460D" w:rsidRPr="0031682B" w:rsidRDefault="00412E4A" w:rsidP="003A76D1">
      <w:pPr>
        <w:pStyle w:val="Tekstpodstawowy2"/>
        <w:ind w:firstLine="709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31682B">
        <w:rPr>
          <w:rFonts w:ascii="Times New Roman" w:hAnsi="Times New Roman"/>
          <w:b w:val="0"/>
          <w:i w:val="0"/>
          <w:sz w:val="24"/>
          <w:szCs w:val="24"/>
        </w:rPr>
        <w:t>Rys.</w:t>
      </w:r>
      <w:r w:rsidR="00C427E5" w:rsidRPr="0031682B">
        <w:rPr>
          <w:rFonts w:ascii="Times New Roman" w:hAnsi="Times New Roman"/>
          <w:b w:val="0"/>
          <w:i w:val="0"/>
          <w:sz w:val="24"/>
          <w:szCs w:val="24"/>
        </w:rPr>
        <w:t>8</w:t>
      </w:r>
    </w:p>
    <w:p w14:paraId="636B9022" w14:textId="56EEAC9D" w:rsidR="009C3944" w:rsidRPr="0058008E" w:rsidRDefault="0031682B" w:rsidP="00D96EA2">
      <w:pPr>
        <w:pStyle w:val="Tekstpodstawowy2"/>
        <w:ind w:firstLine="142"/>
        <w:rPr>
          <w:rFonts w:ascii="Times New Roman" w:hAnsi="Times New Roman"/>
          <w:b w:val="0"/>
          <w:i w:val="0"/>
          <w:color w:val="EE0000"/>
          <w:sz w:val="24"/>
        </w:rPr>
      </w:pPr>
      <w:r>
        <w:rPr>
          <w:noProof/>
        </w:rPr>
        <w:lastRenderedPageBreak/>
        <w:drawing>
          <wp:inline distT="0" distB="0" distL="0" distR="0" wp14:anchorId="1D60F4EE" wp14:editId="7C3BE171">
            <wp:extent cx="5867400" cy="3619500"/>
            <wp:effectExtent l="0" t="0" r="0" b="0"/>
            <wp:docPr id="150897899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876FCFA-B132-74F2-30C4-A6C83214E1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9C6191E" w14:textId="77777777" w:rsidR="00D96EA2" w:rsidRDefault="00D96EA2" w:rsidP="00B230B7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</w:p>
    <w:p w14:paraId="3570DD32" w14:textId="4028D6D2" w:rsidR="00D4285C" w:rsidRPr="0058008E" w:rsidRDefault="00E94E1A" w:rsidP="00B230B7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Realizacj</w:t>
      </w:r>
      <w:r w:rsidR="00D4285C" w:rsidRPr="0058008E">
        <w:rPr>
          <w:rFonts w:ascii="Times New Roman" w:hAnsi="Times New Roman"/>
          <w:b w:val="0"/>
          <w:i w:val="0"/>
          <w:sz w:val="24"/>
        </w:rPr>
        <w:t>ę</w:t>
      </w:r>
      <w:r w:rsidRPr="0058008E">
        <w:rPr>
          <w:rFonts w:ascii="Times New Roman" w:hAnsi="Times New Roman"/>
          <w:b w:val="0"/>
          <w:i w:val="0"/>
          <w:sz w:val="24"/>
        </w:rPr>
        <w:t xml:space="preserve"> wydatków w poszczególnych działach klasyfikacji budżetowej przedstawiono </w:t>
      </w:r>
      <w:r w:rsidR="00F7108E">
        <w:rPr>
          <w:rFonts w:ascii="Times New Roman" w:hAnsi="Times New Roman"/>
          <w:b w:val="0"/>
          <w:i w:val="0"/>
          <w:sz w:val="24"/>
        </w:rPr>
        <w:br/>
      </w:r>
      <w:r w:rsidR="00562CDF" w:rsidRPr="0058008E">
        <w:rPr>
          <w:rFonts w:ascii="Times New Roman" w:hAnsi="Times New Roman"/>
          <w:b w:val="0"/>
          <w:i w:val="0"/>
          <w:sz w:val="24"/>
        </w:rPr>
        <w:t>w części opisowej.</w:t>
      </w:r>
    </w:p>
    <w:p w14:paraId="45E28E92" w14:textId="77777777" w:rsidR="009F18BF" w:rsidRPr="0058008E" w:rsidRDefault="009F18BF" w:rsidP="00B230B7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</w:p>
    <w:p w14:paraId="1F8454DA" w14:textId="77777777" w:rsidR="00D4285C" w:rsidRPr="0058008E" w:rsidRDefault="00D01C60" w:rsidP="00EA441E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W ujęciu działów klasyfikacji budżetowej d</w:t>
      </w:r>
      <w:r w:rsidR="00D4285C" w:rsidRPr="0058008E">
        <w:rPr>
          <w:rFonts w:ascii="Times New Roman" w:hAnsi="Times New Roman"/>
          <w:b w:val="0"/>
          <w:i w:val="0"/>
          <w:sz w:val="24"/>
        </w:rPr>
        <w:t xml:space="preserve">ominującą pozycję w wydatkach budżetowych </w:t>
      </w:r>
      <w:r w:rsidR="00220970" w:rsidRPr="0058008E">
        <w:rPr>
          <w:rFonts w:ascii="Times New Roman" w:hAnsi="Times New Roman"/>
          <w:b w:val="0"/>
          <w:i w:val="0"/>
          <w:sz w:val="24"/>
        </w:rPr>
        <w:t>zajmowały</w:t>
      </w:r>
      <w:r w:rsidR="00D4285C" w:rsidRPr="0058008E">
        <w:rPr>
          <w:rFonts w:ascii="Times New Roman" w:hAnsi="Times New Roman"/>
          <w:b w:val="0"/>
          <w:i w:val="0"/>
          <w:sz w:val="24"/>
        </w:rPr>
        <w:t xml:space="preserve"> tradycyjnie koszty działów:</w:t>
      </w:r>
    </w:p>
    <w:p w14:paraId="32B7F28F" w14:textId="77777777" w:rsidR="00591BC3" w:rsidRPr="0058008E" w:rsidRDefault="00591BC3" w:rsidP="00EA441E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55E116BD" w14:textId="68296AD0" w:rsidR="00E0056E" w:rsidRPr="00F7108E" w:rsidRDefault="00D4285C" w:rsidP="00D96EA2">
      <w:pPr>
        <w:pStyle w:val="Tekstpodstawowy2"/>
        <w:numPr>
          <w:ilvl w:val="0"/>
          <w:numId w:val="13"/>
        </w:numPr>
        <w:ind w:left="142" w:hanging="284"/>
        <w:jc w:val="both"/>
        <w:rPr>
          <w:rFonts w:ascii="Times New Roman" w:hAnsi="Times New Roman"/>
          <w:b w:val="0"/>
          <w:i w:val="0"/>
          <w:sz w:val="24"/>
        </w:rPr>
      </w:pPr>
      <w:r w:rsidRPr="00F7108E">
        <w:rPr>
          <w:rFonts w:ascii="Times New Roman" w:hAnsi="Times New Roman"/>
          <w:b w:val="0"/>
          <w:sz w:val="24"/>
          <w:u w:val="single"/>
        </w:rPr>
        <w:t>oświat</w:t>
      </w:r>
      <w:r w:rsidR="001A50C8" w:rsidRPr="00F7108E">
        <w:rPr>
          <w:rFonts w:ascii="Times New Roman" w:hAnsi="Times New Roman"/>
          <w:b w:val="0"/>
          <w:sz w:val="24"/>
          <w:u w:val="single"/>
        </w:rPr>
        <w:t>y</w:t>
      </w:r>
      <w:r w:rsidRPr="00F7108E">
        <w:rPr>
          <w:rFonts w:ascii="Times New Roman" w:hAnsi="Times New Roman"/>
          <w:b w:val="0"/>
          <w:sz w:val="24"/>
          <w:u w:val="single"/>
        </w:rPr>
        <w:t xml:space="preserve"> </w:t>
      </w:r>
      <w:r w:rsidR="00E14903" w:rsidRPr="00F7108E">
        <w:rPr>
          <w:rFonts w:ascii="Times New Roman" w:hAnsi="Times New Roman"/>
          <w:b w:val="0"/>
          <w:sz w:val="24"/>
          <w:u w:val="single"/>
        </w:rPr>
        <w:t xml:space="preserve">i wychowania </w:t>
      </w:r>
      <w:r w:rsidRPr="00F7108E">
        <w:rPr>
          <w:rFonts w:ascii="Times New Roman" w:hAnsi="Times New Roman"/>
          <w:b w:val="0"/>
          <w:sz w:val="24"/>
          <w:u w:val="single"/>
        </w:rPr>
        <w:t>z edukacyjną opieką wychowawczą</w:t>
      </w:r>
      <w:r w:rsidRPr="00F7108E">
        <w:rPr>
          <w:rFonts w:ascii="Times New Roman" w:hAnsi="Times New Roman"/>
          <w:b w:val="0"/>
          <w:i w:val="0"/>
          <w:sz w:val="24"/>
        </w:rPr>
        <w:t>, które w</w:t>
      </w:r>
      <w:r w:rsidR="00E26364" w:rsidRPr="00F7108E">
        <w:rPr>
          <w:rFonts w:ascii="Times New Roman" w:hAnsi="Times New Roman"/>
          <w:b w:val="0"/>
          <w:i w:val="0"/>
          <w:sz w:val="24"/>
        </w:rPr>
        <w:t>yniosły łącznie</w:t>
      </w:r>
      <w:r w:rsidR="00585D8D" w:rsidRPr="00F7108E">
        <w:rPr>
          <w:rFonts w:ascii="Times New Roman" w:hAnsi="Times New Roman"/>
          <w:b w:val="0"/>
          <w:i w:val="0"/>
          <w:sz w:val="24"/>
        </w:rPr>
        <w:t xml:space="preserve"> </w:t>
      </w:r>
      <w:r w:rsidR="00F7108E" w:rsidRPr="00F7108E">
        <w:rPr>
          <w:rFonts w:ascii="Times New Roman" w:hAnsi="Times New Roman"/>
          <w:b w:val="0"/>
          <w:sz w:val="24"/>
          <w:u w:val="single"/>
        </w:rPr>
        <w:t>148</w:t>
      </w:r>
      <w:r w:rsidR="007E6633" w:rsidRPr="00F7108E">
        <w:rPr>
          <w:rFonts w:ascii="Times New Roman" w:hAnsi="Times New Roman"/>
          <w:b w:val="0"/>
          <w:sz w:val="24"/>
          <w:u w:val="single"/>
        </w:rPr>
        <w:t>,</w:t>
      </w:r>
      <w:r w:rsidR="00F7108E" w:rsidRPr="00F7108E">
        <w:rPr>
          <w:rFonts w:ascii="Times New Roman" w:hAnsi="Times New Roman"/>
          <w:b w:val="0"/>
          <w:sz w:val="24"/>
          <w:u w:val="single"/>
        </w:rPr>
        <w:t>9</w:t>
      </w:r>
      <w:r w:rsidR="00D75A15" w:rsidRPr="00F7108E">
        <w:rPr>
          <w:rFonts w:ascii="Times New Roman" w:hAnsi="Times New Roman"/>
          <w:b w:val="0"/>
          <w:sz w:val="24"/>
          <w:u w:val="single"/>
        </w:rPr>
        <w:t xml:space="preserve"> mln zł</w:t>
      </w:r>
      <w:r w:rsidR="00D75A15" w:rsidRPr="00F7108E">
        <w:rPr>
          <w:rFonts w:ascii="Times New Roman" w:hAnsi="Times New Roman"/>
          <w:b w:val="0"/>
          <w:i w:val="0"/>
          <w:sz w:val="24"/>
        </w:rPr>
        <w:t xml:space="preserve">, </w:t>
      </w:r>
      <w:r w:rsidR="00F7108E">
        <w:rPr>
          <w:rFonts w:ascii="Times New Roman" w:hAnsi="Times New Roman"/>
          <w:b w:val="0"/>
          <w:i w:val="0"/>
          <w:sz w:val="24"/>
        </w:rPr>
        <w:br/>
      </w:r>
      <w:r w:rsidR="00D75A15" w:rsidRPr="00F7108E">
        <w:rPr>
          <w:rFonts w:ascii="Times New Roman" w:hAnsi="Times New Roman"/>
          <w:b w:val="0"/>
          <w:i w:val="0"/>
          <w:sz w:val="24"/>
        </w:rPr>
        <w:t>z</w:t>
      </w:r>
      <w:r w:rsidR="00D75A15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D75A15" w:rsidRPr="00F7108E">
        <w:rPr>
          <w:rFonts w:ascii="Times New Roman" w:hAnsi="Times New Roman"/>
          <w:b w:val="0"/>
          <w:i w:val="0"/>
          <w:sz w:val="24"/>
        </w:rPr>
        <w:t>czego wydatki bieżące wyniosły</w:t>
      </w:r>
      <w:r w:rsidR="001D3AD4" w:rsidRPr="00F7108E">
        <w:rPr>
          <w:rFonts w:ascii="Times New Roman" w:hAnsi="Times New Roman"/>
          <w:b w:val="0"/>
          <w:i w:val="0"/>
          <w:sz w:val="24"/>
        </w:rPr>
        <w:t xml:space="preserve"> </w:t>
      </w:r>
      <w:r w:rsidR="00DD6675" w:rsidRPr="00F7108E">
        <w:rPr>
          <w:rFonts w:ascii="Times New Roman" w:hAnsi="Times New Roman"/>
          <w:b w:val="0"/>
          <w:i w:val="0"/>
          <w:sz w:val="24"/>
        </w:rPr>
        <w:t>1</w:t>
      </w:r>
      <w:r w:rsidR="00F7108E" w:rsidRPr="00F7108E">
        <w:rPr>
          <w:rFonts w:ascii="Times New Roman" w:hAnsi="Times New Roman"/>
          <w:b w:val="0"/>
          <w:i w:val="0"/>
          <w:sz w:val="24"/>
        </w:rPr>
        <w:t>46</w:t>
      </w:r>
      <w:r w:rsidR="00DD6675" w:rsidRPr="00F7108E">
        <w:rPr>
          <w:rFonts w:ascii="Times New Roman" w:hAnsi="Times New Roman"/>
          <w:b w:val="0"/>
          <w:i w:val="0"/>
          <w:sz w:val="24"/>
        </w:rPr>
        <w:t>,</w:t>
      </w:r>
      <w:r w:rsidR="00B31EA7" w:rsidRPr="00F7108E">
        <w:rPr>
          <w:rFonts w:ascii="Times New Roman" w:hAnsi="Times New Roman"/>
          <w:b w:val="0"/>
          <w:i w:val="0"/>
          <w:sz w:val="24"/>
        </w:rPr>
        <w:t>8</w:t>
      </w:r>
      <w:r w:rsidR="00B46D16" w:rsidRPr="00F7108E">
        <w:rPr>
          <w:rFonts w:ascii="Times New Roman" w:hAnsi="Times New Roman"/>
          <w:b w:val="0"/>
          <w:i w:val="0"/>
          <w:sz w:val="24"/>
        </w:rPr>
        <w:t xml:space="preserve"> mln </w:t>
      </w:r>
      <w:r w:rsidR="00CC36AF" w:rsidRPr="00F7108E">
        <w:rPr>
          <w:rFonts w:ascii="Times New Roman" w:hAnsi="Times New Roman"/>
          <w:b w:val="0"/>
          <w:i w:val="0"/>
          <w:sz w:val="24"/>
        </w:rPr>
        <w:t xml:space="preserve">zł </w:t>
      </w:r>
      <w:r w:rsidR="00B47946" w:rsidRPr="00F7108E">
        <w:rPr>
          <w:rFonts w:ascii="Times New Roman" w:hAnsi="Times New Roman"/>
          <w:b w:val="0"/>
          <w:i w:val="0"/>
          <w:sz w:val="24"/>
        </w:rPr>
        <w:t>(</w:t>
      </w:r>
      <w:r w:rsidR="00CC36AF" w:rsidRPr="00F7108E">
        <w:rPr>
          <w:rFonts w:ascii="Times New Roman" w:hAnsi="Times New Roman"/>
          <w:b w:val="0"/>
          <w:i w:val="0"/>
          <w:sz w:val="24"/>
        </w:rPr>
        <w:t>były wyższe o</w:t>
      </w:r>
      <w:r w:rsidR="0081589F" w:rsidRPr="00F7108E">
        <w:rPr>
          <w:rFonts w:ascii="Times New Roman" w:hAnsi="Times New Roman"/>
          <w:b w:val="0"/>
          <w:i w:val="0"/>
          <w:sz w:val="24"/>
        </w:rPr>
        <w:t>d</w:t>
      </w:r>
      <w:r w:rsidR="00B80744" w:rsidRPr="00F7108E">
        <w:rPr>
          <w:rFonts w:ascii="Times New Roman" w:hAnsi="Times New Roman"/>
          <w:b w:val="0"/>
          <w:i w:val="0"/>
          <w:sz w:val="24"/>
        </w:rPr>
        <w:t xml:space="preserve"> zeszłorocznych o </w:t>
      </w:r>
      <w:r w:rsidR="00F7108E" w:rsidRPr="00F7108E">
        <w:rPr>
          <w:rFonts w:ascii="Times New Roman" w:hAnsi="Times New Roman"/>
          <w:b w:val="0"/>
          <w:i w:val="0"/>
          <w:sz w:val="24"/>
        </w:rPr>
        <w:t>15,8</w:t>
      </w:r>
      <w:r w:rsidR="00D75A15" w:rsidRPr="00F7108E">
        <w:rPr>
          <w:rFonts w:ascii="Times New Roman" w:hAnsi="Times New Roman"/>
          <w:b w:val="0"/>
          <w:i w:val="0"/>
          <w:sz w:val="24"/>
        </w:rPr>
        <w:t xml:space="preserve"> mln zł</w:t>
      </w:r>
      <w:r w:rsidR="00B47946" w:rsidRPr="00F7108E">
        <w:rPr>
          <w:rFonts w:ascii="Times New Roman" w:hAnsi="Times New Roman"/>
          <w:b w:val="0"/>
          <w:i w:val="0"/>
          <w:sz w:val="24"/>
        </w:rPr>
        <w:t>)</w:t>
      </w:r>
      <w:r w:rsidR="00CC36AF" w:rsidRPr="00F7108E">
        <w:rPr>
          <w:rFonts w:ascii="Times New Roman" w:hAnsi="Times New Roman"/>
          <w:b w:val="0"/>
          <w:i w:val="0"/>
          <w:sz w:val="24"/>
        </w:rPr>
        <w:t>;</w:t>
      </w:r>
      <w:r w:rsidR="00E26364" w:rsidRPr="00F7108E">
        <w:rPr>
          <w:rFonts w:ascii="Times New Roman" w:hAnsi="Times New Roman"/>
          <w:b w:val="0"/>
          <w:i w:val="0"/>
          <w:sz w:val="24"/>
        </w:rPr>
        <w:t xml:space="preserve"> </w:t>
      </w:r>
      <w:r w:rsidR="00226307" w:rsidRPr="00F7108E">
        <w:rPr>
          <w:rFonts w:ascii="Times New Roman" w:hAnsi="Times New Roman"/>
          <w:b w:val="0"/>
          <w:i w:val="0"/>
          <w:sz w:val="24"/>
        </w:rPr>
        <w:t xml:space="preserve">stanowiły </w:t>
      </w:r>
      <w:r w:rsidR="00046DF6" w:rsidRPr="00F7108E">
        <w:rPr>
          <w:rFonts w:ascii="Times New Roman" w:hAnsi="Times New Roman"/>
          <w:b w:val="0"/>
          <w:i w:val="0"/>
          <w:sz w:val="24"/>
        </w:rPr>
        <w:t xml:space="preserve">one </w:t>
      </w:r>
      <w:r w:rsidR="00900313" w:rsidRPr="00F7108E">
        <w:rPr>
          <w:rFonts w:ascii="Times New Roman" w:hAnsi="Times New Roman"/>
          <w:b w:val="0"/>
          <w:i w:val="0"/>
          <w:sz w:val="24"/>
        </w:rPr>
        <w:t>2</w:t>
      </w:r>
      <w:r w:rsidR="00F7108E" w:rsidRPr="00F7108E">
        <w:rPr>
          <w:rFonts w:ascii="Times New Roman" w:hAnsi="Times New Roman"/>
          <w:b w:val="0"/>
          <w:i w:val="0"/>
          <w:sz w:val="24"/>
        </w:rPr>
        <w:t>6</w:t>
      </w:r>
      <w:r w:rsidR="00745CC9" w:rsidRPr="00F7108E">
        <w:rPr>
          <w:rFonts w:ascii="Times New Roman" w:hAnsi="Times New Roman"/>
          <w:b w:val="0"/>
          <w:i w:val="0"/>
          <w:sz w:val="24"/>
        </w:rPr>
        <w:t>,</w:t>
      </w:r>
      <w:r w:rsidR="00F7108E" w:rsidRPr="00F7108E">
        <w:rPr>
          <w:rFonts w:ascii="Times New Roman" w:hAnsi="Times New Roman"/>
          <w:b w:val="0"/>
          <w:i w:val="0"/>
          <w:sz w:val="24"/>
        </w:rPr>
        <w:t>92</w:t>
      </w:r>
      <w:r w:rsidRPr="00F7108E">
        <w:rPr>
          <w:rFonts w:ascii="Times New Roman" w:hAnsi="Times New Roman"/>
          <w:b w:val="0"/>
          <w:i w:val="0"/>
          <w:sz w:val="24"/>
        </w:rPr>
        <w:t>% ogółu wydatków budżetu.</w:t>
      </w:r>
      <w:r w:rsidR="00B47946" w:rsidRPr="00F71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373232BE" w14:textId="2A218482" w:rsidR="003C6749" w:rsidRPr="000B4845" w:rsidRDefault="00D4285C" w:rsidP="00D96EA2">
      <w:pPr>
        <w:pStyle w:val="Tekstpodstawowy2"/>
        <w:ind w:left="-142"/>
        <w:jc w:val="both"/>
        <w:rPr>
          <w:rFonts w:ascii="Times New Roman" w:hAnsi="Times New Roman"/>
          <w:b w:val="0"/>
          <w:i w:val="0"/>
          <w:sz w:val="24"/>
        </w:rPr>
      </w:pPr>
      <w:r w:rsidRPr="000B4845">
        <w:rPr>
          <w:rFonts w:ascii="Times New Roman" w:hAnsi="Times New Roman"/>
          <w:b w:val="0"/>
          <w:i w:val="0"/>
          <w:sz w:val="24"/>
        </w:rPr>
        <w:t xml:space="preserve">Zadania wychowawczo - oświatowe finansowane były z </w:t>
      </w:r>
      <w:r w:rsidR="00830ECC" w:rsidRPr="000B4845">
        <w:rPr>
          <w:rFonts w:ascii="Times New Roman" w:hAnsi="Times New Roman"/>
          <w:b w:val="0"/>
          <w:i w:val="0"/>
          <w:sz w:val="24"/>
        </w:rPr>
        <w:t>trzech</w:t>
      </w:r>
      <w:r w:rsidRPr="000B4845">
        <w:rPr>
          <w:rFonts w:ascii="Times New Roman" w:hAnsi="Times New Roman"/>
          <w:b w:val="0"/>
          <w:i w:val="0"/>
          <w:sz w:val="24"/>
        </w:rPr>
        <w:t xml:space="preserve"> źródeł:</w:t>
      </w:r>
      <w:r w:rsidR="001D3AD4" w:rsidRPr="000B4845">
        <w:rPr>
          <w:rFonts w:ascii="Times New Roman" w:hAnsi="Times New Roman"/>
          <w:b w:val="0"/>
          <w:i w:val="0"/>
          <w:sz w:val="24"/>
        </w:rPr>
        <w:t xml:space="preserve"> </w:t>
      </w:r>
      <w:r w:rsidRPr="000B4845">
        <w:rPr>
          <w:rFonts w:ascii="Times New Roman" w:hAnsi="Times New Roman"/>
          <w:b w:val="0"/>
          <w:i w:val="0"/>
          <w:sz w:val="24"/>
        </w:rPr>
        <w:t>z budżetu państwa</w:t>
      </w:r>
      <w:r w:rsidR="00E309BC" w:rsidRPr="000B4845">
        <w:rPr>
          <w:rFonts w:ascii="Times New Roman" w:hAnsi="Times New Roman"/>
          <w:b w:val="0"/>
          <w:i w:val="0"/>
          <w:sz w:val="24"/>
        </w:rPr>
        <w:t xml:space="preserve"> ujętych </w:t>
      </w:r>
      <w:r w:rsidR="00E309BC" w:rsidRPr="000B4845">
        <w:rPr>
          <w:rFonts w:ascii="Times New Roman" w:hAnsi="Times New Roman"/>
          <w:b w:val="0"/>
          <w:i w:val="0"/>
          <w:sz w:val="24"/>
        </w:rPr>
        <w:br/>
        <w:t xml:space="preserve">w udziałach w dochodach z podatków dochodowych z PIT I CIT, </w:t>
      </w:r>
      <w:r w:rsidR="00FA4398" w:rsidRPr="000B4845">
        <w:rPr>
          <w:rFonts w:ascii="Times New Roman" w:hAnsi="Times New Roman"/>
          <w:b w:val="0"/>
          <w:i w:val="0"/>
          <w:sz w:val="24"/>
        </w:rPr>
        <w:t xml:space="preserve"> </w:t>
      </w:r>
      <w:r w:rsidR="00B47946" w:rsidRPr="000B4845">
        <w:rPr>
          <w:rFonts w:ascii="Times New Roman" w:hAnsi="Times New Roman"/>
          <w:b w:val="0"/>
          <w:i w:val="0"/>
          <w:sz w:val="24"/>
        </w:rPr>
        <w:t>i</w:t>
      </w:r>
      <w:r w:rsidR="00FA4398" w:rsidRPr="000B4845">
        <w:rPr>
          <w:rFonts w:ascii="Times New Roman" w:hAnsi="Times New Roman"/>
          <w:b w:val="0"/>
          <w:i w:val="0"/>
          <w:sz w:val="24"/>
        </w:rPr>
        <w:t xml:space="preserve"> ze środków</w:t>
      </w:r>
      <w:r w:rsidR="00B47946" w:rsidRPr="000B4845">
        <w:rPr>
          <w:rFonts w:ascii="Times New Roman" w:hAnsi="Times New Roman"/>
          <w:b w:val="0"/>
          <w:i w:val="0"/>
          <w:sz w:val="24"/>
        </w:rPr>
        <w:t xml:space="preserve"> </w:t>
      </w:r>
      <w:r w:rsidR="001D3AD4" w:rsidRPr="000B4845">
        <w:rPr>
          <w:rFonts w:ascii="Times New Roman" w:hAnsi="Times New Roman"/>
          <w:b w:val="0"/>
          <w:i w:val="0"/>
          <w:sz w:val="24"/>
        </w:rPr>
        <w:t>unijnych</w:t>
      </w:r>
      <w:r w:rsidR="00064C3F" w:rsidRPr="000B4845">
        <w:rPr>
          <w:rFonts w:ascii="Times New Roman" w:hAnsi="Times New Roman"/>
          <w:b w:val="0"/>
          <w:i w:val="0"/>
          <w:sz w:val="24"/>
        </w:rPr>
        <w:t xml:space="preserve">, które </w:t>
      </w:r>
      <w:r w:rsidR="00D01C60" w:rsidRPr="000B4845">
        <w:rPr>
          <w:rFonts w:ascii="Times New Roman" w:hAnsi="Times New Roman"/>
          <w:b w:val="0"/>
          <w:i w:val="0"/>
          <w:sz w:val="24"/>
        </w:rPr>
        <w:t xml:space="preserve">stanowiły </w:t>
      </w:r>
      <w:r w:rsidR="000B4845">
        <w:rPr>
          <w:rFonts w:ascii="Times New Roman" w:hAnsi="Times New Roman"/>
          <w:b w:val="0"/>
          <w:i w:val="0"/>
          <w:sz w:val="24"/>
        </w:rPr>
        <w:t xml:space="preserve"> 60% </w:t>
      </w:r>
      <w:r w:rsidRPr="000B4845">
        <w:rPr>
          <w:rFonts w:ascii="Times New Roman" w:hAnsi="Times New Roman"/>
          <w:b w:val="0"/>
          <w:i w:val="0"/>
          <w:sz w:val="24"/>
          <w:vertAlign w:val="subscript"/>
        </w:rPr>
        <w:t xml:space="preserve"> </w:t>
      </w:r>
      <w:r w:rsidR="00046DF6" w:rsidRPr="000B4845">
        <w:rPr>
          <w:rFonts w:ascii="Times New Roman" w:hAnsi="Times New Roman"/>
          <w:b w:val="0"/>
          <w:i w:val="0"/>
          <w:sz w:val="24"/>
          <w:vertAlign w:val="subscript"/>
        </w:rPr>
        <w:t xml:space="preserve"> </w:t>
      </w:r>
      <w:r w:rsidRPr="000B4845">
        <w:rPr>
          <w:rFonts w:ascii="Times New Roman" w:hAnsi="Times New Roman"/>
          <w:b w:val="0"/>
          <w:i w:val="0"/>
          <w:sz w:val="24"/>
        </w:rPr>
        <w:t xml:space="preserve">ich ogółu, </w:t>
      </w:r>
      <w:r w:rsidR="005D197E" w:rsidRPr="000B4845">
        <w:rPr>
          <w:rFonts w:ascii="Times New Roman" w:hAnsi="Times New Roman"/>
          <w:b w:val="0"/>
          <w:i w:val="0"/>
          <w:sz w:val="24"/>
        </w:rPr>
        <w:t>czyli</w:t>
      </w:r>
      <w:r w:rsidR="00886D00" w:rsidRPr="000B4845">
        <w:rPr>
          <w:rFonts w:ascii="Times New Roman" w:hAnsi="Times New Roman"/>
          <w:b w:val="0"/>
          <w:i w:val="0"/>
          <w:sz w:val="24"/>
        </w:rPr>
        <w:t xml:space="preserve"> </w:t>
      </w:r>
      <w:r w:rsidR="000B4845" w:rsidRPr="000B4845">
        <w:rPr>
          <w:rFonts w:ascii="Times New Roman" w:hAnsi="Times New Roman"/>
          <w:b w:val="0"/>
          <w:i w:val="0"/>
          <w:sz w:val="24"/>
        </w:rPr>
        <w:t>89</w:t>
      </w:r>
      <w:r w:rsidR="00AA64E9" w:rsidRPr="000B4845">
        <w:rPr>
          <w:rFonts w:ascii="Times New Roman" w:hAnsi="Times New Roman"/>
          <w:b w:val="0"/>
          <w:i w:val="0"/>
          <w:sz w:val="24"/>
        </w:rPr>
        <w:t>,1</w:t>
      </w:r>
      <w:r w:rsidR="008C2D65" w:rsidRPr="000B4845">
        <w:rPr>
          <w:rFonts w:ascii="Times New Roman" w:hAnsi="Times New Roman"/>
          <w:b w:val="0"/>
          <w:i w:val="0"/>
          <w:sz w:val="24"/>
        </w:rPr>
        <w:t xml:space="preserve"> mln zł</w:t>
      </w:r>
      <w:r w:rsidR="00B47946" w:rsidRPr="000B4845">
        <w:rPr>
          <w:rFonts w:ascii="Times New Roman" w:hAnsi="Times New Roman"/>
          <w:b w:val="0"/>
          <w:i w:val="0"/>
          <w:sz w:val="24"/>
        </w:rPr>
        <w:t xml:space="preserve"> </w:t>
      </w:r>
      <w:r w:rsidR="00B47946" w:rsidRPr="00AA5A9B">
        <w:rPr>
          <w:rFonts w:ascii="Times New Roman" w:hAnsi="Times New Roman"/>
          <w:b w:val="0"/>
          <w:i w:val="0"/>
          <w:sz w:val="24"/>
        </w:rPr>
        <w:t xml:space="preserve">oraz </w:t>
      </w:r>
      <w:r w:rsidR="00E0056E" w:rsidRPr="00AA5A9B">
        <w:rPr>
          <w:rFonts w:ascii="Times New Roman" w:hAnsi="Times New Roman"/>
          <w:b w:val="0"/>
          <w:i w:val="0"/>
          <w:sz w:val="24"/>
        </w:rPr>
        <w:t xml:space="preserve">z dochodów uzyskiwanych przez placówki z </w:t>
      </w:r>
      <w:proofErr w:type="spellStart"/>
      <w:r w:rsidR="00E0056E" w:rsidRPr="00AA5A9B">
        <w:rPr>
          <w:rFonts w:ascii="Times New Roman" w:hAnsi="Times New Roman"/>
          <w:b w:val="0"/>
          <w:i w:val="0"/>
          <w:sz w:val="24"/>
        </w:rPr>
        <w:t>ynajmupomieszczeń</w:t>
      </w:r>
      <w:proofErr w:type="spellEnd"/>
      <w:r w:rsidRPr="00AA5A9B">
        <w:rPr>
          <w:rFonts w:ascii="Times New Roman" w:hAnsi="Times New Roman"/>
          <w:b w:val="0"/>
          <w:i w:val="0"/>
          <w:sz w:val="24"/>
        </w:rPr>
        <w:t xml:space="preserve"> </w:t>
      </w:r>
      <w:r w:rsidR="00886D00" w:rsidRPr="00AA5A9B">
        <w:rPr>
          <w:rFonts w:ascii="Times New Roman" w:hAnsi="Times New Roman"/>
          <w:b w:val="0"/>
          <w:i w:val="0"/>
          <w:sz w:val="24"/>
        </w:rPr>
        <w:t>i odpłatności za pobyt dzieci w przedszkolach</w:t>
      </w:r>
      <w:r w:rsidR="001D3AD4" w:rsidRPr="00AA5A9B">
        <w:rPr>
          <w:rFonts w:ascii="Times New Roman" w:hAnsi="Times New Roman"/>
          <w:b w:val="0"/>
          <w:i w:val="0"/>
          <w:sz w:val="24"/>
        </w:rPr>
        <w:t xml:space="preserve"> </w:t>
      </w:r>
      <w:r w:rsidR="00886D00" w:rsidRPr="00AA5A9B">
        <w:rPr>
          <w:rFonts w:ascii="Times New Roman" w:hAnsi="Times New Roman"/>
          <w:b w:val="0"/>
          <w:i w:val="0"/>
          <w:sz w:val="24"/>
        </w:rPr>
        <w:t>1,</w:t>
      </w:r>
      <w:r w:rsidR="00AA5A9B" w:rsidRPr="00AA5A9B">
        <w:rPr>
          <w:rFonts w:ascii="Times New Roman" w:hAnsi="Times New Roman"/>
          <w:b w:val="0"/>
          <w:i w:val="0"/>
          <w:sz w:val="24"/>
        </w:rPr>
        <w:t>3</w:t>
      </w:r>
      <w:r w:rsidR="009439BB" w:rsidRPr="00AA5A9B">
        <w:rPr>
          <w:rFonts w:ascii="Times New Roman" w:hAnsi="Times New Roman"/>
          <w:b w:val="0"/>
          <w:i w:val="0"/>
          <w:sz w:val="24"/>
        </w:rPr>
        <w:t xml:space="preserve"> mln zł</w:t>
      </w:r>
      <w:r w:rsidR="009439BB" w:rsidRPr="00AA5A9B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19"/>
      </w:r>
      <w:r w:rsidR="00886D00" w:rsidRPr="000B4845">
        <w:rPr>
          <w:rFonts w:ascii="Times New Roman" w:hAnsi="Times New Roman"/>
          <w:b w:val="0"/>
          <w:i w:val="0"/>
          <w:sz w:val="24"/>
        </w:rPr>
        <w:t xml:space="preserve">oraz z budżetu miasta </w:t>
      </w:r>
      <w:r w:rsidR="000B4845" w:rsidRPr="000B4845">
        <w:rPr>
          <w:rFonts w:ascii="Times New Roman" w:hAnsi="Times New Roman"/>
          <w:b w:val="0"/>
          <w:i w:val="0"/>
          <w:sz w:val="24"/>
        </w:rPr>
        <w:t>58,5</w:t>
      </w:r>
      <w:r w:rsidR="000B69D8" w:rsidRPr="000B4845">
        <w:rPr>
          <w:rFonts w:ascii="Times New Roman" w:hAnsi="Times New Roman"/>
          <w:b w:val="0"/>
          <w:i w:val="0"/>
          <w:sz w:val="24"/>
        </w:rPr>
        <w:t xml:space="preserve"> mln zł</w:t>
      </w:r>
      <w:r w:rsidR="00886D00" w:rsidRPr="000B4845">
        <w:rPr>
          <w:rFonts w:ascii="Times New Roman" w:hAnsi="Times New Roman"/>
          <w:b w:val="0"/>
          <w:i w:val="0"/>
          <w:sz w:val="24"/>
        </w:rPr>
        <w:t>.</w:t>
      </w:r>
    </w:p>
    <w:p w14:paraId="1BD173F3" w14:textId="77777777" w:rsidR="00D4285C" w:rsidRPr="0058008E" w:rsidRDefault="00E0056E" w:rsidP="00132CBD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</w:p>
    <w:p w14:paraId="4D59EB59" w14:textId="653675A1" w:rsidR="00591BC3" w:rsidRPr="00B72584" w:rsidRDefault="005B5593" w:rsidP="00F55533">
      <w:pPr>
        <w:pStyle w:val="Tekstpodstawowy2"/>
        <w:numPr>
          <w:ilvl w:val="0"/>
          <w:numId w:val="13"/>
        </w:numPr>
        <w:ind w:hanging="644"/>
        <w:jc w:val="both"/>
        <w:rPr>
          <w:rFonts w:ascii="Times New Roman" w:hAnsi="Times New Roman"/>
          <w:b w:val="0"/>
          <w:i w:val="0"/>
          <w:sz w:val="24"/>
        </w:rPr>
      </w:pPr>
      <w:r w:rsidRPr="00B72584">
        <w:rPr>
          <w:rFonts w:ascii="Times New Roman" w:hAnsi="Times New Roman"/>
          <w:b w:val="0"/>
          <w:sz w:val="24"/>
          <w:u w:val="single"/>
        </w:rPr>
        <w:t>gospodarki komunalnej</w:t>
      </w:r>
      <w:r w:rsidRPr="00B72584">
        <w:rPr>
          <w:rFonts w:ascii="Times New Roman" w:hAnsi="Times New Roman"/>
          <w:b w:val="0"/>
          <w:i w:val="0"/>
          <w:sz w:val="24"/>
        </w:rPr>
        <w:t xml:space="preserve"> – </w:t>
      </w:r>
      <w:r w:rsidR="00B72584" w:rsidRPr="00B72584">
        <w:rPr>
          <w:rFonts w:ascii="Times New Roman" w:hAnsi="Times New Roman"/>
          <w:b w:val="0"/>
          <w:sz w:val="24"/>
          <w:u w:val="single"/>
        </w:rPr>
        <w:t>86,9</w:t>
      </w:r>
      <w:r w:rsidRPr="00B72584">
        <w:rPr>
          <w:rFonts w:ascii="Times New Roman" w:hAnsi="Times New Roman"/>
          <w:b w:val="0"/>
          <w:sz w:val="24"/>
          <w:u w:val="single"/>
        </w:rPr>
        <w:t xml:space="preserve"> mln zł</w:t>
      </w:r>
      <w:r w:rsidR="00AE650A" w:rsidRPr="00B72584">
        <w:rPr>
          <w:rFonts w:ascii="Times New Roman" w:hAnsi="Times New Roman"/>
          <w:b w:val="0"/>
          <w:i w:val="0"/>
          <w:sz w:val="24"/>
        </w:rPr>
        <w:t>, w</w:t>
      </w:r>
      <w:r w:rsidRPr="00B72584">
        <w:rPr>
          <w:rFonts w:ascii="Times New Roman" w:hAnsi="Times New Roman"/>
          <w:b w:val="0"/>
          <w:i w:val="0"/>
          <w:sz w:val="24"/>
        </w:rPr>
        <w:t xml:space="preserve"> strukturze budżetu stanowiły </w:t>
      </w:r>
      <w:r w:rsidR="00B72584" w:rsidRPr="00B72584">
        <w:rPr>
          <w:rFonts w:ascii="Times New Roman" w:hAnsi="Times New Roman"/>
          <w:b w:val="0"/>
          <w:i w:val="0"/>
          <w:sz w:val="24"/>
        </w:rPr>
        <w:t>15,71</w:t>
      </w:r>
      <w:r w:rsidRPr="00B72584">
        <w:rPr>
          <w:rFonts w:ascii="Times New Roman" w:hAnsi="Times New Roman"/>
          <w:b w:val="0"/>
          <w:i w:val="0"/>
          <w:sz w:val="24"/>
        </w:rPr>
        <w:t>%.</w:t>
      </w:r>
    </w:p>
    <w:p w14:paraId="6858161F" w14:textId="77777777" w:rsidR="00F55533" w:rsidRPr="0058008E" w:rsidRDefault="00F55533" w:rsidP="00F55533">
      <w:pPr>
        <w:pStyle w:val="Tekstpodstawowy2"/>
        <w:ind w:left="50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0DA68668" w14:textId="0C24ED11" w:rsidR="007A1ABA" w:rsidRPr="007B5EE6" w:rsidRDefault="00E93F76" w:rsidP="00F55533">
      <w:pPr>
        <w:numPr>
          <w:ilvl w:val="0"/>
          <w:numId w:val="13"/>
        </w:numPr>
        <w:ind w:left="426" w:hanging="568"/>
        <w:jc w:val="both"/>
        <w:rPr>
          <w:sz w:val="24"/>
        </w:rPr>
      </w:pPr>
      <w:r w:rsidRPr="007B5EE6">
        <w:rPr>
          <w:i/>
          <w:sz w:val="24"/>
          <w:u w:val="single"/>
        </w:rPr>
        <w:t>pomocy społecznej, ochrony zdrowia</w:t>
      </w:r>
      <w:r w:rsidR="00540448" w:rsidRPr="007B5EE6">
        <w:rPr>
          <w:i/>
          <w:sz w:val="24"/>
          <w:u w:val="single"/>
        </w:rPr>
        <w:t>, rodziny</w:t>
      </w:r>
      <w:r w:rsidRPr="007B5EE6">
        <w:rPr>
          <w:i/>
          <w:sz w:val="24"/>
          <w:u w:val="single"/>
        </w:rPr>
        <w:t xml:space="preserve"> i pozostałych zadań w zakresie polityki społecznej,</w:t>
      </w:r>
      <w:r w:rsidRPr="007B5EE6">
        <w:rPr>
          <w:sz w:val="24"/>
        </w:rPr>
        <w:t xml:space="preserve"> wyniosły</w:t>
      </w:r>
      <w:r w:rsidR="00B47946" w:rsidRPr="007B5EE6">
        <w:rPr>
          <w:sz w:val="24"/>
        </w:rPr>
        <w:t xml:space="preserve"> łącznie </w:t>
      </w:r>
      <w:r w:rsidR="007B5EE6" w:rsidRPr="007B5EE6">
        <w:rPr>
          <w:i/>
          <w:sz w:val="24"/>
          <w:u w:val="single"/>
        </w:rPr>
        <w:t>91</w:t>
      </w:r>
      <w:r w:rsidR="001E3316" w:rsidRPr="007B5EE6">
        <w:rPr>
          <w:i/>
          <w:sz w:val="24"/>
          <w:u w:val="single"/>
        </w:rPr>
        <w:t>,</w:t>
      </w:r>
      <w:r w:rsidR="007B5EE6" w:rsidRPr="007B5EE6">
        <w:rPr>
          <w:i/>
          <w:sz w:val="24"/>
          <w:u w:val="single"/>
        </w:rPr>
        <w:t>4</w:t>
      </w:r>
      <w:r w:rsidRPr="007B5EE6">
        <w:rPr>
          <w:i/>
          <w:sz w:val="24"/>
          <w:u w:val="single"/>
        </w:rPr>
        <w:t xml:space="preserve"> mln zł</w:t>
      </w:r>
      <w:r w:rsidR="007C69BF" w:rsidRPr="007B5EE6">
        <w:rPr>
          <w:sz w:val="24"/>
        </w:rPr>
        <w:t xml:space="preserve"> i stanowiły </w:t>
      </w:r>
      <w:r w:rsidR="001E3316" w:rsidRPr="007B5EE6">
        <w:rPr>
          <w:sz w:val="24"/>
        </w:rPr>
        <w:t>1</w:t>
      </w:r>
      <w:r w:rsidR="007B5EE6" w:rsidRPr="007B5EE6">
        <w:rPr>
          <w:sz w:val="24"/>
        </w:rPr>
        <w:t>6</w:t>
      </w:r>
      <w:r w:rsidR="001E3316" w:rsidRPr="007B5EE6">
        <w:rPr>
          <w:sz w:val="24"/>
        </w:rPr>
        <w:t>,</w:t>
      </w:r>
      <w:r w:rsidR="007B5EE6" w:rsidRPr="007B5EE6">
        <w:rPr>
          <w:sz w:val="24"/>
        </w:rPr>
        <w:t>53</w:t>
      </w:r>
      <w:r w:rsidRPr="007B5EE6">
        <w:rPr>
          <w:sz w:val="24"/>
        </w:rPr>
        <w:t>% wydatków ogó</w:t>
      </w:r>
      <w:r w:rsidR="00AF0B0B" w:rsidRPr="007B5EE6">
        <w:rPr>
          <w:sz w:val="24"/>
        </w:rPr>
        <w:t xml:space="preserve">łem. Kwota ta </w:t>
      </w:r>
      <w:r w:rsidR="00397A35" w:rsidRPr="007B5EE6">
        <w:rPr>
          <w:sz w:val="24"/>
        </w:rPr>
        <w:t>przeszło</w:t>
      </w:r>
      <w:r w:rsidR="00AF0B0B" w:rsidRPr="007B5EE6">
        <w:rPr>
          <w:sz w:val="24"/>
        </w:rPr>
        <w:t xml:space="preserve"> w</w:t>
      </w:r>
      <w:r w:rsidR="00E47697" w:rsidRPr="007B5EE6">
        <w:rPr>
          <w:sz w:val="24"/>
        </w:rPr>
        <w:t xml:space="preserve"> </w:t>
      </w:r>
      <w:r w:rsidR="00E47697" w:rsidRPr="007B5EE6">
        <w:rPr>
          <w:sz w:val="24"/>
          <w:vertAlign w:val="superscript"/>
        </w:rPr>
        <w:t>1</w:t>
      </w:r>
      <w:r w:rsidR="00E47697" w:rsidRPr="007B5EE6">
        <w:rPr>
          <w:sz w:val="24"/>
        </w:rPr>
        <w:t>/</w:t>
      </w:r>
      <w:r w:rsidR="005F3088" w:rsidRPr="007B5EE6">
        <w:rPr>
          <w:sz w:val="24"/>
          <w:vertAlign w:val="subscript"/>
        </w:rPr>
        <w:t>8</w:t>
      </w:r>
      <w:r w:rsidR="005F3088" w:rsidRPr="007B5EE6">
        <w:rPr>
          <w:sz w:val="24"/>
        </w:rPr>
        <w:t xml:space="preserve"> (</w:t>
      </w:r>
      <w:r w:rsidR="00880159" w:rsidRPr="007B5EE6">
        <w:rPr>
          <w:sz w:val="24"/>
        </w:rPr>
        <w:t>1</w:t>
      </w:r>
      <w:r w:rsidR="007B5EE6" w:rsidRPr="007B5EE6">
        <w:rPr>
          <w:sz w:val="24"/>
        </w:rPr>
        <w:t>6</w:t>
      </w:r>
      <w:r w:rsidR="008A5BAB" w:rsidRPr="007B5EE6">
        <w:rPr>
          <w:sz w:val="24"/>
        </w:rPr>
        <w:t>,</w:t>
      </w:r>
      <w:r w:rsidR="007B5EE6" w:rsidRPr="007B5EE6">
        <w:rPr>
          <w:sz w:val="24"/>
        </w:rPr>
        <w:t>2</w:t>
      </w:r>
      <w:r w:rsidRPr="007B5EE6">
        <w:rPr>
          <w:sz w:val="24"/>
        </w:rPr>
        <w:t xml:space="preserve"> mln zł) sfinansowana została dotacjami z budżetu państwa oraz odpłatności za usługi opiekuńcze</w:t>
      </w:r>
      <w:r w:rsidR="00F878E3" w:rsidRPr="007B5EE6">
        <w:rPr>
          <w:sz w:val="24"/>
        </w:rPr>
        <w:t xml:space="preserve"> (</w:t>
      </w:r>
      <w:r w:rsidR="007B5EE6" w:rsidRPr="007B5EE6">
        <w:rPr>
          <w:sz w:val="24"/>
        </w:rPr>
        <w:t>6,2</w:t>
      </w:r>
      <w:r w:rsidR="00F878E3" w:rsidRPr="007B5EE6">
        <w:rPr>
          <w:sz w:val="24"/>
        </w:rPr>
        <w:t xml:space="preserve"> mln zł)</w:t>
      </w:r>
      <w:r w:rsidRPr="007B5EE6">
        <w:rPr>
          <w:sz w:val="24"/>
        </w:rPr>
        <w:t xml:space="preserve">. </w:t>
      </w:r>
    </w:p>
    <w:p w14:paraId="487F0BCA" w14:textId="28AFCC37" w:rsidR="00F06262" w:rsidRDefault="00E93F76" w:rsidP="001F7DF7">
      <w:pPr>
        <w:jc w:val="both"/>
        <w:rPr>
          <w:sz w:val="24"/>
        </w:rPr>
      </w:pPr>
      <w:r w:rsidRPr="00B72584">
        <w:rPr>
          <w:sz w:val="24"/>
        </w:rPr>
        <w:t xml:space="preserve">Należy nadmienić, iż w dz. ochrona zdrowia znajdują się zadania z zakresu przeciwdziałania alkoholizmowi, które finansowane są dochodami uzyskiwanymi z koncesji </w:t>
      </w:r>
      <w:r w:rsidR="00B47946" w:rsidRPr="00B72584">
        <w:rPr>
          <w:sz w:val="24"/>
        </w:rPr>
        <w:t>n</w:t>
      </w:r>
      <w:r w:rsidRPr="00B72584">
        <w:rPr>
          <w:sz w:val="24"/>
        </w:rPr>
        <w:t>a sprzedaż alkoholu</w:t>
      </w:r>
      <w:r w:rsidR="00B15957" w:rsidRPr="00B72584">
        <w:rPr>
          <w:sz w:val="24"/>
        </w:rPr>
        <w:t xml:space="preserve"> (</w:t>
      </w:r>
      <w:r w:rsidR="00880159" w:rsidRPr="00B72584">
        <w:rPr>
          <w:sz w:val="24"/>
        </w:rPr>
        <w:t>3,</w:t>
      </w:r>
      <w:r w:rsidR="008A5BAB" w:rsidRPr="00B72584">
        <w:rPr>
          <w:sz w:val="24"/>
        </w:rPr>
        <w:t>9</w:t>
      </w:r>
      <w:r w:rsidR="00B15957" w:rsidRPr="00B72584">
        <w:rPr>
          <w:sz w:val="24"/>
        </w:rPr>
        <w:t xml:space="preserve"> mln zł)</w:t>
      </w:r>
      <w:r w:rsidR="00B47946" w:rsidRPr="00B72584">
        <w:rPr>
          <w:sz w:val="24"/>
        </w:rPr>
        <w:t>,</w:t>
      </w:r>
      <w:r w:rsidRPr="00B72584">
        <w:rPr>
          <w:sz w:val="24"/>
        </w:rPr>
        <w:t xml:space="preserve"> </w:t>
      </w:r>
    </w:p>
    <w:p w14:paraId="10732B63" w14:textId="77777777" w:rsidR="00D35BB9" w:rsidRPr="00B72584" w:rsidRDefault="00D35BB9" w:rsidP="001F7DF7">
      <w:pPr>
        <w:jc w:val="both"/>
        <w:rPr>
          <w:sz w:val="24"/>
        </w:rPr>
      </w:pPr>
    </w:p>
    <w:p w14:paraId="4CF40D36" w14:textId="21C332F2" w:rsidR="00540448" w:rsidRPr="00B72584" w:rsidRDefault="00540448" w:rsidP="00F55533">
      <w:pPr>
        <w:pStyle w:val="Akapitzlist"/>
        <w:numPr>
          <w:ilvl w:val="0"/>
          <w:numId w:val="13"/>
        </w:numPr>
        <w:ind w:hanging="502"/>
        <w:rPr>
          <w:sz w:val="24"/>
        </w:rPr>
      </w:pPr>
      <w:r w:rsidRPr="00B72584">
        <w:rPr>
          <w:i/>
          <w:sz w:val="24"/>
          <w:u w:val="single"/>
        </w:rPr>
        <w:t xml:space="preserve">transport </w:t>
      </w:r>
      <w:r w:rsidRPr="00B72584">
        <w:rPr>
          <w:sz w:val="24"/>
        </w:rPr>
        <w:t xml:space="preserve">– </w:t>
      </w:r>
      <w:r w:rsidR="00AA64E9" w:rsidRPr="00B72584">
        <w:rPr>
          <w:i/>
          <w:sz w:val="24"/>
          <w:u w:val="single"/>
        </w:rPr>
        <w:t>4</w:t>
      </w:r>
      <w:r w:rsidR="00B72584" w:rsidRPr="00B72584">
        <w:rPr>
          <w:i/>
          <w:sz w:val="24"/>
          <w:u w:val="single"/>
        </w:rPr>
        <w:t>4</w:t>
      </w:r>
      <w:r w:rsidR="00E533DC" w:rsidRPr="00B72584">
        <w:rPr>
          <w:i/>
          <w:sz w:val="24"/>
          <w:u w:val="single"/>
        </w:rPr>
        <w:t>,</w:t>
      </w:r>
      <w:r w:rsidR="00B72584" w:rsidRPr="00B72584">
        <w:rPr>
          <w:i/>
          <w:sz w:val="24"/>
          <w:u w:val="single"/>
        </w:rPr>
        <w:t>3</w:t>
      </w:r>
      <w:r w:rsidRPr="00B72584">
        <w:rPr>
          <w:i/>
          <w:sz w:val="24"/>
          <w:u w:val="single"/>
        </w:rPr>
        <w:t xml:space="preserve"> mln zł</w:t>
      </w:r>
      <w:r w:rsidRPr="00B72584">
        <w:rPr>
          <w:sz w:val="24"/>
        </w:rPr>
        <w:t xml:space="preserve">, w wydatkach ogółem zajmowały </w:t>
      </w:r>
      <w:r w:rsidR="00AA64E9" w:rsidRPr="00B72584">
        <w:rPr>
          <w:sz w:val="24"/>
        </w:rPr>
        <w:t>8,</w:t>
      </w:r>
      <w:r w:rsidR="00B72584" w:rsidRPr="00B72584">
        <w:rPr>
          <w:sz w:val="24"/>
        </w:rPr>
        <w:t>00</w:t>
      </w:r>
      <w:r w:rsidRPr="00B72584">
        <w:rPr>
          <w:sz w:val="24"/>
        </w:rPr>
        <w:t xml:space="preserve"> %; </w:t>
      </w:r>
    </w:p>
    <w:p w14:paraId="49ABBFBC" w14:textId="09124628" w:rsidR="00CE6179" w:rsidRPr="00B72584" w:rsidRDefault="00CE6179" w:rsidP="00F55533">
      <w:pPr>
        <w:numPr>
          <w:ilvl w:val="0"/>
          <w:numId w:val="13"/>
        </w:numPr>
        <w:ind w:hanging="502"/>
        <w:rPr>
          <w:sz w:val="24"/>
        </w:rPr>
      </w:pPr>
      <w:r w:rsidRPr="00B72584">
        <w:rPr>
          <w:i/>
          <w:sz w:val="24"/>
          <w:u w:val="single"/>
        </w:rPr>
        <w:lastRenderedPageBreak/>
        <w:t>administracji</w:t>
      </w:r>
      <w:r w:rsidR="003468EE" w:rsidRPr="00B72584">
        <w:rPr>
          <w:sz w:val="24"/>
        </w:rPr>
        <w:t xml:space="preserve">   </w:t>
      </w:r>
      <w:r w:rsidR="00AA64E9" w:rsidRPr="00B72584">
        <w:rPr>
          <w:sz w:val="24"/>
        </w:rPr>
        <w:t>5</w:t>
      </w:r>
      <w:r w:rsidR="00B72584" w:rsidRPr="00B72584">
        <w:rPr>
          <w:sz w:val="24"/>
        </w:rPr>
        <w:t>2</w:t>
      </w:r>
      <w:r w:rsidR="00AA64E9" w:rsidRPr="00B72584">
        <w:rPr>
          <w:sz w:val="24"/>
        </w:rPr>
        <w:t>,</w:t>
      </w:r>
      <w:r w:rsidR="00B72584" w:rsidRPr="00B72584">
        <w:rPr>
          <w:sz w:val="24"/>
        </w:rPr>
        <w:t>3</w:t>
      </w:r>
      <w:r w:rsidR="003468EE" w:rsidRPr="00B72584">
        <w:rPr>
          <w:sz w:val="24"/>
        </w:rPr>
        <w:t xml:space="preserve"> mln zł czyli </w:t>
      </w:r>
      <w:r w:rsidR="001E3316" w:rsidRPr="00B72584">
        <w:rPr>
          <w:sz w:val="24"/>
        </w:rPr>
        <w:t>9,</w:t>
      </w:r>
      <w:r w:rsidR="00B72584" w:rsidRPr="00B72584">
        <w:rPr>
          <w:sz w:val="24"/>
        </w:rPr>
        <w:t>46</w:t>
      </w:r>
      <w:r w:rsidRPr="00B72584">
        <w:rPr>
          <w:sz w:val="24"/>
        </w:rPr>
        <w:t>% udziału w wydatkach całego budżetu.</w:t>
      </w:r>
    </w:p>
    <w:p w14:paraId="790635E6" w14:textId="77777777" w:rsidR="00F55533" w:rsidRPr="0058008E" w:rsidRDefault="00F55533" w:rsidP="00F55533">
      <w:pPr>
        <w:pStyle w:val="Tekstpodstawowy2"/>
        <w:rPr>
          <w:rFonts w:ascii="Times New Roman" w:hAnsi="Times New Roman"/>
          <w:b w:val="0"/>
          <w:i w:val="0"/>
          <w:color w:val="EE0000"/>
          <w:sz w:val="24"/>
        </w:rPr>
      </w:pPr>
    </w:p>
    <w:p w14:paraId="1F453639" w14:textId="0494D286" w:rsidR="00F55533" w:rsidRPr="00AA5A9B" w:rsidRDefault="00F55533" w:rsidP="00F55533">
      <w:pPr>
        <w:pStyle w:val="Tekstpodstawowy2"/>
        <w:jc w:val="right"/>
        <w:rPr>
          <w:rFonts w:ascii="Times New Roman" w:hAnsi="Times New Roman"/>
          <w:b w:val="0"/>
          <w:i w:val="0"/>
          <w:sz w:val="24"/>
        </w:rPr>
      </w:pPr>
      <w:r w:rsidRPr="00AA5A9B">
        <w:rPr>
          <w:rFonts w:ascii="Times New Roman" w:hAnsi="Times New Roman"/>
          <w:b w:val="0"/>
          <w:i w:val="0"/>
          <w:sz w:val="24"/>
        </w:rPr>
        <w:t>Rys.9</w:t>
      </w:r>
    </w:p>
    <w:p w14:paraId="1763C233" w14:textId="77777777" w:rsidR="00254C0D" w:rsidRPr="0058008E" w:rsidRDefault="00254C0D" w:rsidP="00F55533">
      <w:pPr>
        <w:pStyle w:val="Tekstpodstawowy2"/>
        <w:jc w:val="right"/>
        <w:rPr>
          <w:rFonts w:ascii="Times New Roman" w:hAnsi="Times New Roman"/>
          <w:b w:val="0"/>
          <w:i w:val="0"/>
          <w:color w:val="EE0000"/>
          <w:sz w:val="24"/>
        </w:rPr>
      </w:pPr>
    </w:p>
    <w:p w14:paraId="5CE77772" w14:textId="5E677F24" w:rsidR="007A1ABA" w:rsidRPr="0058008E" w:rsidRDefault="007B5EE6" w:rsidP="00D35BB9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  <w:r w:rsidRPr="00D35BB9">
        <w:rPr>
          <w:noProof/>
          <w:sz w:val="22"/>
          <w:szCs w:val="22"/>
        </w:rPr>
        <w:drawing>
          <wp:inline distT="0" distB="0" distL="0" distR="0" wp14:anchorId="438564FD" wp14:editId="11E722F3">
            <wp:extent cx="5343525" cy="2857500"/>
            <wp:effectExtent l="0" t="0" r="9525" b="0"/>
            <wp:docPr id="14793721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84BA15C-20A6-821D-04D2-15EB797930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B831A2B" w14:textId="137B7764" w:rsidR="00C6609F" w:rsidRPr="0058008E" w:rsidRDefault="00C6609F" w:rsidP="0009274B">
      <w:pPr>
        <w:pStyle w:val="Tekstpodstawowy2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</w:p>
    <w:p w14:paraId="64BF5DD0" w14:textId="77777777" w:rsidR="00E47FBE" w:rsidRPr="0058008E" w:rsidRDefault="00E47FBE" w:rsidP="00812A3E">
      <w:pPr>
        <w:pStyle w:val="Tekstpodstawowy2"/>
        <w:ind w:left="60" w:firstLine="649"/>
        <w:jc w:val="both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13C3DED3" w14:textId="3A7F9211" w:rsidR="00812A3E" w:rsidRPr="00B55F74" w:rsidRDefault="00812A3E" w:rsidP="00812A3E">
      <w:pPr>
        <w:pStyle w:val="Tekstpodstawowy2"/>
        <w:ind w:left="60" w:firstLine="64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B55F74">
        <w:rPr>
          <w:rFonts w:ascii="Times New Roman" w:hAnsi="Times New Roman"/>
          <w:b w:val="0"/>
          <w:i w:val="0"/>
          <w:sz w:val="24"/>
          <w:szCs w:val="24"/>
        </w:rPr>
        <w:t xml:space="preserve">Należy </w:t>
      </w:r>
      <w:r w:rsidR="005F3088" w:rsidRPr="00B55F74">
        <w:rPr>
          <w:rFonts w:ascii="Times New Roman" w:hAnsi="Times New Roman"/>
          <w:b w:val="0"/>
          <w:i w:val="0"/>
          <w:sz w:val="24"/>
          <w:szCs w:val="24"/>
        </w:rPr>
        <w:t>podkreślić,</w:t>
      </w:r>
      <w:r w:rsidR="00C42E25" w:rsidRPr="00B55F7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B55F74">
        <w:rPr>
          <w:rFonts w:ascii="Times New Roman" w:hAnsi="Times New Roman"/>
          <w:b w:val="0"/>
          <w:i w:val="0"/>
          <w:sz w:val="24"/>
          <w:szCs w:val="24"/>
        </w:rPr>
        <w:t xml:space="preserve">iż </w:t>
      </w:r>
      <w:r w:rsidR="00B55F74" w:rsidRPr="00B55F74">
        <w:rPr>
          <w:rFonts w:ascii="Times New Roman" w:hAnsi="Times New Roman"/>
          <w:b w:val="0"/>
          <w:i w:val="0"/>
          <w:sz w:val="24"/>
          <w:szCs w:val="24"/>
        </w:rPr>
        <w:t>10,60</w:t>
      </w:r>
      <w:r w:rsidR="001B7922" w:rsidRPr="00B55F74">
        <w:rPr>
          <w:rFonts w:ascii="Times New Roman" w:hAnsi="Times New Roman"/>
          <w:b w:val="0"/>
          <w:i w:val="0"/>
          <w:sz w:val="24"/>
          <w:szCs w:val="24"/>
        </w:rPr>
        <w:t>%</w:t>
      </w:r>
      <w:r w:rsidRPr="00B55F74">
        <w:rPr>
          <w:rFonts w:ascii="Times New Roman" w:hAnsi="Times New Roman"/>
          <w:b w:val="0"/>
          <w:i w:val="0"/>
          <w:sz w:val="24"/>
          <w:szCs w:val="24"/>
        </w:rPr>
        <w:t xml:space="preserve"> poniesionych wydatków budżetowych pokrytych zostało zewnętrznymi środkami finansowymi jakie miasto otrzymało w formie dotacji celowych, bezzwrotnych środków z budżetu UE</w:t>
      </w:r>
      <w:r w:rsidR="001B7922" w:rsidRPr="00B55F74">
        <w:rPr>
          <w:rFonts w:ascii="Times New Roman" w:hAnsi="Times New Roman"/>
          <w:b w:val="0"/>
          <w:i w:val="0"/>
          <w:sz w:val="24"/>
          <w:szCs w:val="24"/>
        </w:rPr>
        <w:t>, z</w:t>
      </w:r>
      <w:r w:rsidRPr="00B55F7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B7922" w:rsidRPr="00B55F74">
        <w:rPr>
          <w:rFonts w:ascii="Times New Roman" w:hAnsi="Times New Roman"/>
          <w:b w:val="0"/>
          <w:i w:val="0"/>
          <w:sz w:val="24"/>
          <w:szCs w:val="24"/>
        </w:rPr>
        <w:t xml:space="preserve">MF </w:t>
      </w:r>
      <w:r w:rsidRPr="00B55F74">
        <w:rPr>
          <w:rFonts w:ascii="Times New Roman" w:hAnsi="Times New Roman"/>
          <w:b w:val="0"/>
          <w:i w:val="0"/>
          <w:sz w:val="24"/>
          <w:szCs w:val="24"/>
        </w:rPr>
        <w:t>czy subwencji.</w:t>
      </w:r>
      <w:r w:rsidR="00540448" w:rsidRPr="00B55F7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62E01EDB" w14:textId="77777777" w:rsidR="00C427E5" w:rsidRPr="0058008E" w:rsidRDefault="00C427E5" w:rsidP="00C427E5">
      <w:pPr>
        <w:pStyle w:val="Tekstpodstawowy2"/>
        <w:ind w:left="60" w:firstLine="649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Rys.10</w:t>
      </w:r>
    </w:p>
    <w:p w14:paraId="467B07CF" w14:textId="77777777" w:rsidR="003D531B" w:rsidRPr="0058008E" w:rsidRDefault="003D531B" w:rsidP="00C427E5">
      <w:pPr>
        <w:pStyle w:val="Tekstpodstawowy2"/>
        <w:ind w:left="60" w:firstLine="649"/>
        <w:jc w:val="right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</w:p>
    <w:p w14:paraId="4B0C9B83" w14:textId="19C66BEF" w:rsidR="00812A3E" w:rsidRPr="0058008E" w:rsidRDefault="00134801" w:rsidP="00443FF2">
      <w:pPr>
        <w:pStyle w:val="Tekstpodstawowy2"/>
        <w:ind w:left="60" w:firstLine="82"/>
        <w:jc w:val="center"/>
        <w:rPr>
          <w:rFonts w:ascii="Times New Roman" w:hAnsi="Times New Roman"/>
          <w:b w:val="0"/>
          <w:i w:val="0"/>
          <w:color w:val="EE0000"/>
          <w:sz w:val="24"/>
          <w:szCs w:val="24"/>
        </w:rPr>
      </w:pPr>
      <w:r w:rsidRPr="0058008E">
        <w:rPr>
          <w:rFonts w:ascii="Times New Roman" w:hAnsi="Times New Roman"/>
          <w:noProof/>
        </w:rPr>
        <w:drawing>
          <wp:inline distT="0" distB="0" distL="0" distR="0" wp14:anchorId="6C2767CB" wp14:editId="48B089A9">
            <wp:extent cx="6210935" cy="2258695"/>
            <wp:effectExtent l="0" t="0" r="18415" b="8255"/>
            <wp:docPr id="140144309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3BFE708-B6EF-652D-2AF2-A8E215162B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DB6D645" w14:textId="77777777" w:rsidR="00E93F76" w:rsidRPr="0058008E" w:rsidRDefault="00E93F76" w:rsidP="009C3944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71C0CF5B" w14:textId="714FCB41" w:rsidR="00414A18" w:rsidRPr="00AA5A9B" w:rsidRDefault="00B55F74" w:rsidP="00432D79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AA5A9B">
        <w:rPr>
          <w:rFonts w:ascii="Times New Roman" w:hAnsi="Times New Roman"/>
          <w:b w:val="0"/>
          <w:i w:val="0"/>
          <w:sz w:val="24"/>
        </w:rPr>
        <w:t>Analiza wskazuje</w:t>
      </w:r>
      <w:r w:rsidR="0003104E" w:rsidRPr="00AA5A9B">
        <w:rPr>
          <w:rFonts w:ascii="Times New Roman" w:hAnsi="Times New Roman"/>
          <w:b w:val="0"/>
          <w:i w:val="0"/>
          <w:sz w:val="24"/>
        </w:rPr>
        <w:t xml:space="preserve"> </w:t>
      </w:r>
      <w:r w:rsidR="00D8215E" w:rsidRPr="00AA5A9B">
        <w:rPr>
          <w:rFonts w:ascii="Times New Roman" w:hAnsi="Times New Roman"/>
          <w:b w:val="0"/>
          <w:i w:val="0"/>
          <w:sz w:val="24"/>
        </w:rPr>
        <w:t xml:space="preserve">iż </w:t>
      </w:r>
      <w:r w:rsidR="00F05FD1" w:rsidRPr="00AA5A9B">
        <w:rPr>
          <w:rFonts w:ascii="Times New Roman" w:hAnsi="Times New Roman"/>
          <w:b w:val="0"/>
          <w:i w:val="0"/>
          <w:sz w:val="24"/>
        </w:rPr>
        <w:t xml:space="preserve">w zakresie wydatków bieżących </w:t>
      </w:r>
      <w:r w:rsidR="00414A18" w:rsidRPr="00AA5A9B">
        <w:rPr>
          <w:rFonts w:ascii="Times New Roman" w:hAnsi="Times New Roman"/>
          <w:b w:val="0"/>
          <w:i w:val="0"/>
          <w:sz w:val="24"/>
        </w:rPr>
        <w:t>w 202</w:t>
      </w:r>
      <w:r w:rsidR="00AA5A9B" w:rsidRPr="00AA5A9B">
        <w:rPr>
          <w:rFonts w:ascii="Times New Roman" w:hAnsi="Times New Roman"/>
          <w:b w:val="0"/>
          <w:i w:val="0"/>
          <w:sz w:val="24"/>
        </w:rPr>
        <w:t>5</w:t>
      </w:r>
      <w:r w:rsidR="00414A18" w:rsidRPr="00AA5A9B">
        <w:rPr>
          <w:rFonts w:ascii="Times New Roman" w:hAnsi="Times New Roman"/>
          <w:b w:val="0"/>
          <w:i w:val="0"/>
          <w:sz w:val="24"/>
        </w:rPr>
        <w:t xml:space="preserve"> roku </w:t>
      </w:r>
      <w:r w:rsidR="00AA5A9B">
        <w:rPr>
          <w:rFonts w:ascii="Times New Roman" w:hAnsi="Times New Roman"/>
          <w:b w:val="0"/>
          <w:i w:val="0"/>
          <w:sz w:val="24"/>
        </w:rPr>
        <w:t xml:space="preserve">wystąpił deficyt bieżący między wydatkami bieżącymi a dochodami bieżącymi o kwotę 1.007.007 zł. </w:t>
      </w:r>
      <w:r w:rsidR="00E340C8" w:rsidRPr="00AA5A9B">
        <w:rPr>
          <w:rFonts w:ascii="Times New Roman" w:hAnsi="Times New Roman"/>
          <w:b w:val="0"/>
          <w:i w:val="0"/>
          <w:sz w:val="24"/>
        </w:rPr>
        <w:t>Udział wydatków bieżących</w:t>
      </w:r>
      <w:r w:rsidR="007E2AE0" w:rsidRPr="00AA5A9B">
        <w:rPr>
          <w:rFonts w:ascii="Times New Roman" w:hAnsi="Times New Roman"/>
          <w:b w:val="0"/>
          <w:i w:val="0"/>
          <w:sz w:val="24"/>
        </w:rPr>
        <w:t xml:space="preserve"> – </w:t>
      </w:r>
      <w:r w:rsidR="00685125">
        <w:rPr>
          <w:rFonts w:ascii="Times New Roman" w:hAnsi="Times New Roman"/>
          <w:b w:val="0"/>
          <w:i w:val="0"/>
          <w:sz w:val="24"/>
        </w:rPr>
        <w:t>89,75</w:t>
      </w:r>
      <w:r w:rsidR="0003104E" w:rsidRPr="00AA5A9B">
        <w:rPr>
          <w:rFonts w:ascii="Times New Roman" w:hAnsi="Times New Roman"/>
          <w:b w:val="0"/>
          <w:i w:val="0"/>
          <w:sz w:val="24"/>
        </w:rPr>
        <w:t xml:space="preserve"> </w:t>
      </w:r>
      <w:r w:rsidR="007E2AE0" w:rsidRPr="00AA5A9B">
        <w:rPr>
          <w:rFonts w:ascii="Times New Roman" w:hAnsi="Times New Roman"/>
          <w:b w:val="0"/>
          <w:i w:val="0"/>
          <w:sz w:val="24"/>
        </w:rPr>
        <w:t>%</w:t>
      </w:r>
      <w:r w:rsidR="00E340C8" w:rsidRPr="00AA5A9B">
        <w:rPr>
          <w:rFonts w:ascii="Times New Roman" w:hAnsi="Times New Roman"/>
          <w:b w:val="0"/>
          <w:i w:val="0"/>
          <w:sz w:val="24"/>
        </w:rPr>
        <w:t>,</w:t>
      </w:r>
      <w:r w:rsidR="0018541C" w:rsidRPr="00AA5A9B">
        <w:rPr>
          <w:rFonts w:ascii="Times New Roman" w:hAnsi="Times New Roman"/>
          <w:b w:val="0"/>
          <w:i w:val="0"/>
          <w:sz w:val="24"/>
        </w:rPr>
        <w:t xml:space="preserve"> (</w:t>
      </w:r>
      <w:r w:rsidR="00DE5574" w:rsidRPr="00AA5A9B">
        <w:rPr>
          <w:rFonts w:ascii="Times New Roman" w:hAnsi="Times New Roman"/>
          <w:b w:val="0"/>
          <w:i w:val="0"/>
          <w:sz w:val="24"/>
        </w:rPr>
        <w:t>8</w:t>
      </w:r>
      <w:r w:rsidR="00AA5A9B" w:rsidRPr="00AA5A9B">
        <w:rPr>
          <w:rFonts w:ascii="Times New Roman" w:hAnsi="Times New Roman"/>
          <w:b w:val="0"/>
          <w:i w:val="0"/>
          <w:sz w:val="24"/>
        </w:rPr>
        <w:t>7</w:t>
      </w:r>
      <w:r w:rsidR="0018541C" w:rsidRPr="00AA5A9B">
        <w:rPr>
          <w:rFonts w:ascii="Times New Roman" w:hAnsi="Times New Roman"/>
          <w:b w:val="0"/>
          <w:i w:val="0"/>
          <w:sz w:val="24"/>
        </w:rPr>
        <w:t>% w roku poprzednim</w:t>
      </w:r>
      <w:r w:rsidR="00397A35" w:rsidRPr="00AA5A9B">
        <w:rPr>
          <w:rFonts w:ascii="Times New Roman" w:hAnsi="Times New Roman"/>
          <w:b w:val="0"/>
          <w:i w:val="0"/>
          <w:sz w:val="24"/>
        </w:rPr>
        <w:t>, 8</w:t>
      </w:r>
      <w:r w:rsidR="00AA5A9B" w:rsidRPr="00AA5A9B">
        <w:rPr>
          <w:rFonts w:ascii="Times New Roman" w:hAnsi="Times New Roman"/>
          <w:b w:val="0"/>
          <w:i w:val="0"/>
          <w:sz w:val="24"/>
        </w:rPr>
        <w:t>0</w:t>
      </w:r>
      <w:r w:rsidR="00397A35" w:rsidRPr="00AA5A9B">
        <w:rPr>
          <w:rFonts w:ascii="Times New Roman" w:hAnsi="Times New Roman"/>
          <w:b w:val="0"/>
          <w:i w:val="0"/>
          <w:sz w:val="24"/>
        </w:rPr>
        <w:t xml:space="preserve"> % w roku 20</w:t>
      </w:r>
      <w:r w:rsidR="00DE5574" w:rsidRPr="00AA5A9B">
        <w:rPr>
          <w:rFonts w:ascii="Times New Roman" w:hAnsi="Times New Roman"/>
          <w:b w:val="0"/>
          <w:i w:val="0"/>
          <w:sz w:val="24"/>
        </w:rPr>
        <w:t>2</w:t>
      </w:r>
      <w:r w:rsidR="00AA5A9B" w:rsidRPr="00AA5A9B">
        <w:rPr>
          <w:rFonts w:ascii="Times New Roman" w:hAnsi="Times New Roman"/>
          <w:b w:val="0"/>
          <w:i w:val="0"/>
          <w:sz w:val="24"/>
        </w:rPr>
        <w:t>3</w:t>
      </w:r>
      <w:r w:rsidR="0018541C" w:rsidRPr="00AA5A9B">
        <w:rPr>
          <w:rFonts w:ascii="Times New Roman" w:hAnsi="Times New Roman"/>
          <w:b w:val="0"/>
          <w:i w:val="0"/>
          <w:sz w:val="24"/>
        </w:rPr>
        <w:t>)</w:t>
      </w:r>
      <w:r w:rsidR="00856D58" w:rsidRPr="00AA5A9B">
        <w:rPr>
          <w:rFonts w:ascii="Times New Roman" w:hAnsi="Times New Roman"/>
          <w:b w:val="0"/>
          <w:i w:val="0"/>
          <w:sz w:val="24"/>
        </w:rPr>
        <w:t xml:space="preserve"> </w:t>
      </w:r>
      <w:r w:rsidR="0003104E" w:rsidRPr="00AA5A9B">
        <w:rPr>
          <w:rFonts w:ascii="Times New Roman" w:hAnsi="Times New Roman"/>
          <w:b w:val="0"/>
          <w:i w:val="0"/>
          <w:sz w:val="24"/>
        </w:rPr>
        <w:t xml:space="preserve">w strukturze wydatków </w:t>
      </w:r>
      <w:r w:rsidR="00856D58" w:rsidRPr="00AA5A9B">
        <w:rPr>
          <w:rFonts w:ascii="Times New Roman" w:hAnsi="Times New Roman"/>
          <w:b w:val="0"/>
          <w:i w:val="0"/>
          <w:sz w:val="24"/>
        </w:rPr>
        <w:t>w du</w:t>
      </w:r>
      <w:r w:rsidR="00E340C8" w:rsidRPr="00AA5A9B">
        <w:rPr>
          <w:rFonts w:ascii="Times New Roman" w:hAnsi="Times New Roman"/>
          <w:b w:val="0"/>
          <w:i w:val="0"/>
          <w:sz w:val="24"/>
        </w:rPr>
        <w:t>żej mierze związanych</w:t>
      </w:r>
      <w:r w:rsidR="00856D58" w:rsidRPr="00AA5A9B">
        <w:rPr>
          <w:rFonts w:ascii="Times New Roman" w:hAnsi="Times New Roman"/>
          <w:b w:val="0"/>
          <w:i w:val="0"/>
          <w:sz w:val="24"/>
        </w:rPr>
        <w:t xml:space="preserve"> </w:t>
      </w:r>
      <w:r w:rsidR="0003104E" w:rsidRPr="00AA5A9B">
        <w:rPr>
          <w:rFonts w:ascii="Times New Roman" w:hAnsi="Times New Roman"/>
          <w:b w:val="0"/>
          <w:i w:val="0"/>
          <w:sz w:val="24"/>
        </w:rPr>
        <w:t xml:space="preserve">jest </w:t>
      </w:r>
      <w:r w:rsidR="00856D58" w:rsidRPr="00AA5A9B">
        <w:rPr>
          <w:rFonts w:ascii="Times New Roman" w:hAnsi="Times New Roman"/>
          <w:b w:val="0"/>
          <w:i w:val="0"/>
          <w:sz w:val="24"/>
        </w:rPr>
        <w:t>z realizacją zadań o charakterze obligatoryjnym</w:t>
      </w:r>
      <w:r w:rsidR="00414A18" w:rsidRPr="00AA5A9B">
        <w:rPr>
          <w:rFonts w:ascii="Times New Roman" w:hAnsi="Times New Roman"/>
          <w:b w:val="0"/>
          <w:i w:val="0"/>
          <w:sz w:val="24"/>
        </w:rPr>
        <w:t xml:space="preserve"> szczególnie w obszarze edukacji</w:t>
      </w:r>
      <w:r w:rsidR="0003104E" w:rsidRPr="00AA5A9B">
        <w:rPr>
          <w:rFonts w:ascii="Times New Roman" w:hAnsi="Times New Roman"/>
          <w:b w:val="0"/>
          <w:i w:val="0"/>
          <w:sz w:val="24"/>
        </w:rPr>
        <w:t>.</w:t>
      </w:r>
    </w:p>
    <w:p w14:paraId="2A46DB33" w14:textId="79B9C0F4" w:rsidR="00F06262" w:rsidRPr="00AA5A9B" w:rsidRDefault="00414A18" w:rsidP="00414A18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685125">
        <w:rPr>
          <w:rFonts w:ascii="Times New Roman" w:hAnsi="Times New Roman"/>
          <w:b w:val="0"/>
          <w:i w:val="0"/>
          <w:sz w:val="24"/>
        </w:rPr>
        <w:t>Natomiast u</w:t>
      </w:r>
      <w:r w:rsidR="0003104E" w:rsidRPr="00685125">
        <w:rPr>
          <w:rFonts w:ascii="Times New Roman" w:hAnsi="Times New Roman"/>
          <w:b w:val="0"/>
          <w:i w:val="0"/>
          <w:sz w:val="24"/>
        </w:rPr>
        <w:t xml:space="preserve">dział </w:t>
      </w:r>
      <w:r w:rsidR="00E340C8" w:rsidRPr="00685125">
        <w:rPr>
          <w:rFonts w:ascii="Times New Roman" w:hAnsi="Times New Roman"/>
          <w:b w:val="0"/>
          <w:i w:val="0"/>
          <w:sz w:val="24"/>
        </w:rPr>
        <w:t xml:space="preserve">wydatków inwestycyjnych </w:t>
      </w:r>
      <w:r w:rsidR="0003104E" w:rsidRPr="00685125">
        <w:rPr>
          <w:rFonts w:ascii="Times New Roman" w:hAnsi="Times New Roman"/>
          <w:b w:val="0"/>
          <w:i w:val="0"/>
          <w:sz w:val="24"/>
        </w:rPr>
        <w:t xml:space="preserve">obniżył się do poziomu </w:t>
      </w:r>
      <w:r w:rsidR="00685125" w:rsidRPr="00685125">
        <w:rPr>
          <w:rFonts w:ascii="Times New Roman" w:hAnsi="Times New Roman"/>
          <w:b w:val="0"/>
          <w:i w:val="0"/>
          <w:sz w:val="24"/>
        </w:rPr>
        <w:t>10</w:t>
      </w:r>
      <w:r w:rsidR="0003104E" w:rsidRPr="00685125">
        <w:rPr>
          <w:rFonts w:ascii="Times New Roman" w:hAnsi="Times New Roman"/>
          <w:b w:val="0"/>
          <w:i w:val="0"/>
          <w:sz w:val="24"/>
        </w:rPr>
        <w:t xml:space="preserve"> % </w:t>
      </w:r>
      <w:r w:rsidR="0018541C" w:rsidRPr="00AA5A9B">
        <w:rPr>
          <w:rFonts w:ascii="Times New Roman" w:hAnsi="Times New Roman"/>
          <w:b w:val="0"/>
          <w:i w:val="0"/>
          <w:sz w:val="24"/>
        </w:rPr>
        <w:t>(</w:t>
      </w:r>
      <w:r w:rsidR="00AA5A9B" w:rsidRPr="00AA5A9B">
        <w:rPr>
          <w:rFonts w:ascii="Times New Roman" w:hAnsi="Times New Roman"/>
          <w:b w:val="0"/>
          <w:i w:val="0"/>
          <w:sz w:val="24"/>
        </w:rPr>
        <w:t>20</w:t>
      </w:r>
      <w:r w:rsidR="00397A35" w:rsidRPr="00AA5A9B">
        <w:rPr>
          <w:rFonts w:ascii="Times New Roman" w:hAnsi="Times New Roman"/>
          <w:b w:val="0"/>
          <w:i w:val="0"/>
          <w:sz w:val="24"/>
        </w:rPr>
        <w:t xml:space="preserve"> % w roku 202</w:t>
      </w:r>
      <w:r w:rsidR="00AA5A9B" w:rsidRPr="00AA5A9B">
        <w:rPr>
          <w:rFonts w:ascii="Times New Roman" w:hAnsi="Times New Roman"/>
          <w:b w:val="0"/>
          <w:i w:val="0"/>
          <w:sz w:val="24"/>
        </w:rPr>
        <w:t>3</w:t>
      </w:r>
      <w:r w:rsidR="00397A35" w:rsidRPr="00AA5A9B">
        <w:rPr>
          <w:rFonts w:ascii="Times New Roman" w:hAnsi="Times New Roman"/>
          <w:b w:val="0"/>
          <w:i w:val="0"/>
          <w:sz w:val="24"/>
        </w:rPr>
        <w:t xml:space="preserve">, </w:t>
      </w:r>
      <w:r w:rsidR="00AA5A9B" w:rsidRPr="00AA5A9B">
        <w:rPr>
          <w:rFonts w:ascii="Times New Roman" w:hAnsi="Times New Roman"/>
          <w:b w:val="0"/>
          <w:i w:val="0"/>
          <w:sz w:val="24"/>
        </w:rPr>
        <w:t>13</w:t>
      </w:r>
      <w:r w:rsidR="0018541C" w:rsidRPr="00AA5A9B">
        <w:rPr>
          <w:rFonts w:ascii="Times New Roman" w:hAnsi="Times New Roman"/>
          <w:b w:val="0"/>
          <w:i w:val="0"/>
          <w:sz w:val="24"/>
        </w:rPr>
        <w:t>% w roku 20</w:t>
      </w:r>
      <w:r w:rsidR="00F05FD1" w:rsidRPr="00AA5A9B">
        <w:rPr>
          <w:rFonts w:ascii="Times New Roman" w:hAnsi="Times New Roman"/>
          <w:b w:val="0"/>
          <w:i w:val="0"/>
          <w:sz w:val="24"/>
        </w:rPr>
        <w:t>2</w:t>
      </w:r>
      <w:r w:rsidR="0003104E" w:rsidRPr="00AA5A9B">
        <w:rPr>
          <w:rFonts w:ascii="Times New Roman" w:hAnsi="Times New Roman"/>
          <w:b w:val="0"/>
          <w:i w:val="0"/>
          <w:sz w:val="24"/>
        </w:rPr>
        <w:t>3</w:t>
      </w:r>
      <w:r w:rsidR="0018541C" w:rsidRPr="00AA5A9B">
        <w:rPr>
          <w:rFonts w:ascii="Times New Roman" w:hAnsi="Times New Roman"/>
          <w:b w:val="0"/>
          <w:i w:val="0"/>
          <w:sz w:val="24"/>
        </w:rPr>
        <w:t>)</w:t>
      </w:r>
      <w:r w:rsidR="007E2AE0" w:rsidRPr="00AA5A9B">
        <w:rPr>
          <w:rFonts w:ascii="Times New Roman" w:hAnsi="Times New Roman"/>
          <w:b w:val="0"/>
          <w:i w:val="0"/>
          <w:sz w:val="24"/>
        </w:rPr>
        <w:t xml:space="preserve"> </w:t>
      </w:r>
      <w:r w:rsidR="001B7922" w:rsidRPr="00AA5A9B">
        <w:rPr>
          <w:rFonts w:ascii="Times New Roman" w:hAnsi="Times New Roman"/>
          <w:b w:val="0"/>
          <w:i w:val="0"/>
          <w:sz w:val="24"/>
        </w:rPr>
        <w:t>.</w:t>
      </w:r>
      <w:r w:rsidR="00D8215E" w:rsidRPr="00AA5A9B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7B540DF6" w14:textId="3CB7D9CB" w:rsidR="006A36A5" w:rsidRPr="0058008E" w:rsidRDefault="004B07A7" w:rsidP="009C3944">
      <w:pPr>
        <w:pStyle w:val="Tekstpodstawowy2"/>
        <w:ind w:firstLine="709"/>
        <w:jc w:val="both"/>
        <w:rPr>
          <w:rFonts w:ascii="Times New Roman" w:hAnsi="Times New Roman"/>
          <w:b w:val="0"/>
          <w:sz w:val="24"/>
        </w:rPr>
      </w:pPr>
      <w:r w:rsidRPr="00AB49D3">
        <w:rPr>
          <w:rFonts w:ascii="Times New Roman" w:hAnsi="Times New Roman"/>
          <w:b w:val="0"/>
          <w:i w:val="0"/>
          <w:sz w:val="24"/>
        </w:rPr>
        <w:lastRenderedPageBreak/>
        <w:t xml:space="preserve">Kwotowe i procentowe wykonanie </w:t>
      </w:r>
      <w:r w:rsidR="0065696F" w:rsidRPr="00AB49D3">
        <w:rPr>
          <w:rFonts w:ascii="Times New Roman" w:hAnsi="Times New Roman"/>
          <w:b w:val="0"/>
          <w:i w:val="0"/>
          <w:sz w:val="24"/>
        </w:rPr>
        <w:t xml:space="preserve">dochodów i </w:t>
      </w:r>
      <w:r w:rsidRPr="00AB49D3">
        <w:rPr>
          <w:rFonts w:ascii="Times New Roman" w:hAnsi="Times New Roman"/>
          <w:b w:val="0"/>
          <w:i w:val="0"/>
          <w:sz w:val="24"/>
        </w:rPr>
        <w:t xml:space="preserve">wydatków w </w:t>
      </w:r>
      <w:r w:rsidR="00B9632C" w:rsidRPr="00AB49D3">
        <w:rPr>
          <w:rFonts w:ascii="Times New Roman" w:hAnsi="Times New Roman"/>
          <w:b w:val="0"/>
          <w:i w:val="0"/>
          <w:sz w:val="24"/>
        </w:rPr>
        <w:t>zakresie wszystkich działów</w:t>
      </w:r>
      <w:r w:rsidRPr="00AB49D3">
        <w:rPr>
          <w:rFonts w:ascii="Times New Roman" w:hAnsi="Times New Roman"/>
          <w:b w:val="0"/>
          <w:i w:val="0"/>
          <w:sz w:val="24"/>
        </w:rPr>
        <w:t xml:space="preserve"> przedstawia </w:t>
      </w:r>
      <w:r w:rsidR="00AF5AA8" w:rsidRPr="00AB49D3">
        <w:rPr>
          <w:rFonts w:ascii="Times New Roman" w:hAnsi="Times New Roman"/>
          <w:b w:val="0"/>
          <w:i w:val="0"/>
          <w:sz w:val="24"/>
        </w:rPr>
        <w:t>zestawienie tabelaryczne na s</w:t>
      </w:r>
      <w:r w:rsidR="002F7289" w:rsidRPr="00AB49D3">
        <w:rPr>
          <w:rFonts w:ascii="Times New Roman" w:hAnsi="Times New Roman"/>
          <w:b w:val="0"/>
          <w:i w:val="0"/>
          <w:sz w:val="24"/>
        </w:rPr>
        <w:t>.</w:t>
      </w:r>
      <w:r w:rsidR="00830ECC" w:rsidRPr="00AB49D3">
        <w:rPr>
          <w:rFonts w:ascii="Times New Roman" w:hAnsi="Times New Roman"/>
          <w:b w:val="0"/>
          <w:i w:val="0"/>
          <w:sz w:val="24"/>
        </w:rPr>
        <w:t xml:space="preserve"> </w:t>
      </w:r>
      <w:r w:rsidR="002F7289" w:rsidRPr="00AB49D3">
        <w:rPr>
          <w:rFonts w:ascii="Times New Roman" w:hAnsi="Times New Roman"/>
          <w:b w:val="0"/>
          <w:i w:val="0"/>
          <w:sz w:val="24"/>
        </w:rPr>
        <w:t>2</w:t>
      </w:r>
      <w:r w:rsidR="00AB49D3" w:rsidRPr="00AB49D3">
        <w:rPr>
          <w:rFonts w:ascii="Times New Roman" w:hAnsi="Times New Roman"/>
          <w:b w:val="0"/>
          <w:i w:val="0"/>
          <w:sz w:val="24"/>
        </w:rPr>
        <w:t>3</w:t>
      </w:r>
      <w:r w:rsidR="00D11631" w:rsidRPr="00AB49D3">
        <w:rPr>
          <w:rFonts w:ascii="Times New Roman" w:hAnsi="Times New Roman"/>
          <w:b w:val="0"/>
          <w:i w:val="0"/>
          <w:sz w:val="24"/>
        </w:rPr>
        <w:t xml:space="preserve"> - </w:t>
      </w:r>
      <w:r w:rsidR="00A44F2A" w:rsidRPr="00AB49D3">
        <w:rPr>
          <w:rFonts w:ascii="Times New Roman" w:hAnsi="Times New Roman"/>
          <w:b w:val="0"/>
          <w:i w:val="0"/>
          <w:sz w:val="24"/>
        </w:rPr>
        <w:t>5</w:t>
      </w:r>
      <w:r w:rsidR="00AB49D3" w:rsidRPr="00AB49D3">
        <w:rPr>
          <w:rFonts w:ascii="Times New Roman" w:hAnsi="Times New Roman"/>
          <w:b w:val="0"/>
          <w:i w:val="0"/>
          <w:sz w:val="24"/>
        </w:rPr>
        <w:t>7</w:t>
      </w:r>
      <w:r w:rsidR="0081589F" w:rsidRPr="00AB49D3">
        <w:rPr>
          <w:rFonts w:ascii="Times New Roman" w:hAnsi="Times New Roman"/>
          <w:b w:val="0"/>
          <w:i w:val="0"/>
          <w:sz w:val="24"/>
        </w:rPr>
        <w:t xml:space="preserve">. </w:t>
      </w:r>
      <w:r w:rsidRPr="00AB49D3">
        <w:rPr>
          <w:rFonts w:ascii="Times New Roman" w:hAnsi="Times New Roman"/>
          <w:b w:val="0"/>
          <w:i w:val="0"/>
          <w:sz w:val="24"/>
        </w:rPr>
        <w:t xml:space="preserve">Natomiast </w:t>
      </w:r>
      <w:r w:rsidRPr="0058008E">
        <w:rPr>
          <w:rFonts w:ascii="Times New Roman" w:hAnsi="Times New Roman"/>
          <w:b w:val="0"/>
          <w:i w:val="0"/>
          <w:sz w:val="24"/>
        </w:rPr>
        <w:t>„Część opisowa” do sprawozdania zawiera</w:t>
      </w:r>
      <w:r w:rsidR="00A70DE9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merytoryczny opis wydatków zrealizowanych przez poszczególne </w:t>
      </w:r>
      <w:r w:rsidRPr="0058008E">
        <w:rPr>
          <w:rFonts w:ascii="Times New Roman" w:hAnsi="Times New Roman"/>
          <w:b w:val="0"/>
          <w:sz w:val="24"/>
        </w:rPr>
        <w:t>Wyd</w:t>
      </w:r>
      <w:r w:rsidR="00EE650E" w:rsidRPr="0058008E">
        <w:rPr>
          <w:rFonts w:ascii="Times New Roman" w:hAnsi="Times New Roman"/>
          <w:b w:val="0"/>
          <w:sz w:val="24"/>
        </w:rPr>
        <w:t>ziały</w:t>
      </w:r>
      <w:r w:rsidR="00414A18" w:rsidRPr="0058008E">
        <w:rPr>
          <w:rFonts w:ascii="Times New Roman" w:hAnsi="Times New Roman"/>
          <w:b w:val="0"/>
          <w:sz w:val="24"/>
        </w:rPr>
        <w:t xml:space="preserve"> i</w:t>
      </w:r>
      <w:r w:rsidR="00AF5AA8" w:rsidRPr="0058008E">
        <w:rPr>
          <w:rFonts w:ascii="Times New Roman" w:hAnsi="Times New Roman"/>
          <w:b w:val="0"/>
          <w:sz w:val="24"/>
        </w:rPr>
        <w:t xml:space="preserve"> </w:t>
      </w:r>
      <w:r w:rsidR="00EE650E" w:rsidRPr="0058008E">
        <w:rPr>
          <w:rFonts w:ascii="Times New Roman" w:hAnsi="Times New Roman"/>
          <w:b w:val="0"/>
          <w:sz w:val="24"/>
        </w:rPr>
        <w:t xml:space="preserve">Referaty Urzędu Miasta oraz </w:t>
      </w:r>
      <w:r w:rsidRPr="0058008E">
        <w:rPr>
          <w:rFonts w:ascii="Times New Roman" w:hAnsi="Times New Roman"/>
          <w:b w:val="0"/>
          <w:sz w:val="24"/>
        </w:rPr>
        <w:t>Jednostki budżetowe</w:t>
      </w:r>
      <w:r w:rsidR="002C7691" w:rsidRPr="0058008E">
        <w:rPr>
          <w:rFonts w:ascii="Times New Roman" w:hAnsi="Times New Roman"/>
          <w:b w:val="0"/>
          <w:sz w:val="24"/>
        </w:rPr>
        <w:t>.</w:t>
      </w:r>
    </w:p>
    <w:p w14:paraId="470CED8A" w14:textId="77777777" w:rsidR="00414A18" w:rsidRPr="0058008E" w:rsidRDefault="00414A18" w:rsidP="009C3944">
      <w:pPr>
        <w:pStyle w:val="Tekstpodstawowy2"/>
        <w:ind w:firstLine="709"/>
        <w:jc w:val="both"/>
        <w:rPr>
          <w:rFonts w:ascii="Times New Roman" w:hAnsi="Times New Roman"/>
          <w:b w:val="0"/>
          <w:color w:val="EE0000"/>
          <w:sz w:val="24"/>
        </w:rPr>
      </w:pPr>
    </w:p>
    <w:p w14:paraId="54C623A5" w14:textId="77777777" w:rsidR="00414A18" w:rsidRPr="0058008E" w:rsidRDefault="00414A18" w:rsidP="009C3944">
      <w:pPr>
        <w:pStyle w:val="Tekstpodstawowy2"/>
        <w:ind w:firstLine="709"/>
        <w:jc w:val="both"/>
        <w:rPr>
          <w:rFonts w:ascii="Times New Roman" w:hAnsi="Times New Roman"/>
          <w:b w:val="0"/>
          <w:color w:val="EE0000"/>
          <w:sz w:val="24"/>
        </w:rPr>
      </w:pPr>
    </w:p>
    <w:p w14:paraId="70252FCC" w14:textId="77777777" w:rsidR="00EA3817" w:rsidRPr="0058008E" w:rsidRDefault="00EA3817" w:rsidP="00EA441E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  <w:szCs w:val="24"/>
        </w:rPr>
      </w:pPr>
      <w:r w:rsidRPr="0058008E">
        <w:rPr>
          <w:rFonts w:ascii="Times New Roman" w:hAnsi="Times New Roman"/>
          <w:i w:val="0"/>
          <w:sz w:val="24"/>
          <w:szCs w:val="24"/>
        </w:rPr>
        <w:t xml:space="preserve">ROZCHODY - </w:t>
      </w:r>
      <w:bookmarkStart w:id="10" w:name="_Hlk74829746"/>
      <w:r w:rsidRPr="0058008E">
        <w:rPr>
          <w:rFonts w:ascii="Times New Roman" w:hAnsi="Times New Roman"/>
          <w:i w:val="0"/>
          <w:sz w:val="24"/>
          <w:szCs w:val="24"/>
        </w:rPr>
        <w:t>POZIOM ZADŁUŻENIA</w:t>
      </w:r>
    </w:p>
    <w:p w14:paraId="5DA79952" w14:textId="77777777" w:rsidR="00407573" w:rsidRPr="0058008E" w:rsidRDefault="00407573" w:rsidP="00EA441E">
      <w:pPr>
        <w:pStyle w:val="Tekstpodstawowy2"/>
        <w:jc w:val="both"/>
        <w:rPr>
          <w:rFonts w:ascii="Times New Roman" w:hAnsi="Times New Roman"/>
          <w:i w:val="0"/>
          <w:color w:val="EE0000"/>
          <w:sz w:val="24"/>
        </w:rPr>
      </w:pPr>
    </w:p>
    <w:p w14:paraId="01B1D481" w14:textId="7B262687" w:rsidR="00746640" w:rsidRPr="0058008E" w:rsidRDefault="00746640" w:rsidP="00746640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Na spłatę zobowiązań miasta z tytułu zaciągniętych w latach poprzednich kredytów i pożyczek </w:t>
      </w:r>
      <w:r w:rsidR="002913D0" w:rsidRPr="0058008E">
        <w:rPr>
          <w:rFonts w:ascii="Times New Roman" w:hAnsi="Times New Roman"/>
          <w:b w:val="0"/>
          <w:i w:val="0"/>
          <w:sz w:val="24"/>
        </w:rPr>
        <w:t xml:space="preserve">oraz emisji obligacji </w:t>
      </w:r>
      <w:r w:rsidRPr="0058008E">
        <w:rPr>
          <w:rFonts w:ascii="Times New Roman" w:hAnsi="Times New Roman"/>
          <w:b w:val="0"/>
          <w:i w:val="0"/>
          <w:sz w:val="24"/>
        </w:rPr>
        <w:t>w 202</w:t>
      </w:r>
      <w:r w:rsidR="00970FB3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 xml:space="preserve"> roku </w:t>
      </w:r>
      <w:r w:rsidR="00BD3633" w:rsidRPr="0058008E">
        <w:rPr>
          <w:rFonts w:ascii="Times New Roman" w:hAnsi="Times New Roman"/>
          <w:b w:val="0"/>
          <w:i w:val="0"/>
          <w:sz w:val="24"/>
        </w:rPr>
        <w:t>wydatk</w:t>
      </w:r>
      <w:r w:rsidRPr="0058008E">
        <w:rPr>
          <w:rFonts w:ascii="Times New Roman" w:hAnsi="Times New Roman"/>
          <w:b w:val="0"/>
          <w:i w:val="0"/>
          <w:sz w:val="24"/>
        </w:rPr>
        <w:t xml:space="preserve">owano </w:t>
      </w:r>
      <w:r w:rsidR="00970FB3" w:rsidRPr="0058008E">
        <w:rPr>
          <w:rFonts w:ascii="Times New Roman" w:hAnsi="Times New Roman"/>
          <w:b w:val="0"/>
          <w:i w:val="0"/>
          <w:sz w:val="24"/>
        </w:rPr>
        <w:t>20.8</w:t>
      </w:r>
      <w:r w:rsidR="002913D0" w:rsidRPr="0058008E">
        <w:rPr>
          <w:rFonts w:ascii="Times New Roman" w:hAnsi="Times New Roman"/>
          <w:b w:val="0"/>
          <w:i w:val="0"/>
          <w:sz w:val="24"/>
        </w:rPr>
        <w:t>78</w:t>
      </w:r>
      <w:r w:rsidR="00970FB3" w:rsidRPr="0058008E">
        <w:rPr>
          <w:rFonts w:ascii="Times New Roman" w:hAnsi="Times New Roman"/>
          <w:b w:val="0"/>
          <w:i w:val="0"/>
          <w:sz w:val="24"/>
        </w:rPr>
        <w:t>.</w:t>
      </w:r>
      <w:r w:rsidR="00BD3633" w:rsidRPr="0058008E">
        <w:rPr>
          <w:rFonts w:ascii="Times New Roman" w:hAnsi="Times New Roman"/>
          <w:b w:val="0"/>
          <w:i w:val="0"/>
          <w:sz w:val="24"/>
        </w:rPr>
        <w:t>269</w:t>
      </w:r>
      <w:r w:rsidR="00970FB3" w:rsidRPr="0058008E">
        <w:rPr>
          <w:rFonts w:ascii="Times New Roman" w:hAnsi="Times New Roman"/>
          <w:b w:val="0"/>
          <w:i w:val="0"/>
          <w:sz w:val="24"/>
        </w:rPr>
        <w:t xml:space="preserve"> zł</w:t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. </w:t>
      </w:r>
      <w:r w:rsidRPr="0058008E">
        <w:rPr>
          <w:rFonts w:ascii="Times New Roman" w:hAnsi="Times New Roman"/>
          <w:b w:val="0"/>
          <w:i w:val="0"/>
          <w:sz w:val="24"/>
        </w:rPr>
        <w:t xml:space="preserve">Natomiast koszty obsługi zadłużenia </w:t>
      </w:r>
      <w:r w:rsidR="006829CE" w:rsidRPr="0058008E">
        <w:rPr>
          <w:rFonts w:ascii="Times New Roman" w:hAnsi="Times New Roman"/>
          <w:b w:val="0"/>
          <w:i w:val="0"/>
          <w:sz w:val="24"/>
        </w:rPr>
        <w:t xml:space="preserve">wyniosły </w:t>
      </w:r>
      <w:r w:rsidR="00BD3633" w:rsidRPr="0058008E">
        <w:rPr>
          <w:rFonts w:ascii="Times New Roman" w:hAnsi="Times New Roman"/>
          <w:b w:val="0"/>
          <w:i w:val="0"/>
          <w:sz w:val="24"/>
        </w:rPr>
        <w:t>6</w:t>
      </w:r>
      <w:r w:rsidR="008E604B" w:rsidRPr="0058008E">
        <w:rPr>
          <w:rFonts w:ascii="Times New Roman" w:hAnsi="Times New Roman"/>
          <w:b w:val="0"/>
          <w:i w:val="0"/>
          <w:sz w:val="24"/>
        </w:rPr>
        <w:t>.</w:t>
      </w:r>
      <w:r w:rsidR="00BD3633" w:rsidRPr="0058008E">
        <w:rPr>
          <w:rFonts w:ascii="Times New Roman" w:hAnsi="Times New Roman"/>
          <w:b w:val="0"/>
          <w:i w:val="0"/>
          <w:sz w:val="24"/>
        </w:rPr>
        <w:t>336</w:t>
      </w:r>
      <w:r w:rsidR="008E604B" w:rsidRPr="0058008E">
        <w:rPr>
          <w:rFonts w:ascii="Times New Roman" w:hAnsi="Times New Roman"/>
          <w:b w:val="0"/>
          <w:i w:val="0"/>
          <w:sz w:val="24"/>
        </w:rPr>
        <w:t>.</w:t>
      </w:r>
      <w:r w:rsidR="00BD3633" w:rsidRPr="0058008E">
        <w:rPr>
          <w:rFonts w:ascii="Times New Roman" w:hAnsi="Times New Roman"/>
          <w:b w:val="0"/>
          <w:i w:val="0"/>
          <w:sz w:val="24"/>
        </w:rPr>
        <w:t>63</w:t>
      </w:r>
      <w:r w:rsidR="009D72BE" w:rsidRPr="0058008E">
        <w:rPr>
          <w:rFonts w:ascii="Times New Roman" w:hAnsi="Times New Roman"/>
          <w:b w:val="0"/>
          <w:i w:val="0"/>
          <w:sz w:val="24"/>
        </w:rPr>
        <w:t>4</w:t>
      </w:r>
      <w:r w:rsidR="006829CE" w:rsidRPr="0058008E">
        <w:rPr>
          <w:rFonts w:ascii="Times New Roman" w:hAnsi="Times New Roman"/>
          <w:b w:val="0"/>
          <w:i w:val="0"/>
          <w:sz w:val="24"/>
        </w:rPr>
        <w:t xml:space="preserve"> zł i były wyższe od ubiegłorocznych o </w:t>
      </w:r>
      <w:r w:rsidR="00BD3633" w:rsidRPr="0058008E">
        <w:rPr>
          <w:rFonts w:ascii="Times New Roman" w:hAnsi="Times New Roman"/>
          <w:b w:val="0"/>
          <w:i w:val="0"/>
          <w:sz w:val="24"/>
        </w:rPr>
        <w:t>14,54%</w:t>
      </w:r>
      <w:r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20"/>
      </w:r>
      <w:r w:rsidR="006829CE" w:rsidRPr="0058008E">
        <w:rPr>
          <w:rFonts w:ascii="Times New Roman" w:hAnsi="Times New Roman"/>
          <w:b w:val="0"/>
          <w:i w:val="0"/>
          <w:sz w:val="24"/>
        </w:rPr>
        <w:t xml:space="preserve"> z racji </w:t>
      </w:r>
      <w:r w:rsidR="00414A18" w:rsidRPr="0058008E">
        <w:rPr>
          <w:rFonts w:ascii="Times New Roman" w:hAnsi="Times New Roman"/>
          <w:b w:val="0"/>
          <w:i w:val="0"/>
          <w:sz w:val="24"/>
        </w:rPr>
        <w:t xml:space="preserve">nowych </w:t>
      </w:r>
      <w:r w:rsidR="006829CE" w:rsidRPr="0058008E">
        <w:rPr>
          <w:rFonts w:ascii="Times New Roman" w:hAnsi="Times New Roman"/>
          <w:b w:val="0"/>
          <w:i w:val="0"/>
          <w:sz w:val="24"/>
        </w:rPr>
        <w:t>emisji obligacji przez miasto</w:t>
      </w:r>
      <w:r w:rsidRPr="0058008E">
        <w:rPr>
          <w:rFonts w:ascii="Times New Roman" w:hAnsi="Times New Roman"/>
          <w:b w:val="0"/>
          <w:i w:val="0"/>
          <w:sz w:val="24"/>
        </w:rPr>
        <w:t>.</w:t>
      </w:r>
    </w:p>
    <w:p w14:paraId="1E321A0E" w14:textId="77777777" w:rsidR="00746640" w:rsidRPr="0058008E" w:rsidRDefault="00746640" w:rsidP="00746640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031E3F9E" w14:textId="1C596728" w:rsidR="00746640" w:rsidRPr="0058008E" w:rsidRDefault="00746640" w:rsidP="00746640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Na koniec 202</w:t>
      </w:r>
      <w:r w:rsidR="00970FB3" w:rsidRPr="0058008E">
        <w:rPr>
          <w:rFonts w:ascii="Times New Roman" w:hAnsi="Times New Roman"/>
          <w:b w:val="0"/>
          <w:i w:val="0"/>
          <w:sz w:val="24"/>
        </w:rPr>
        <w:t>5</w:t>
      </w:r>
      <w:r w:rsidR="006829CE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r. </w:t>
      </w:r>
      <w:r w:rsidRPr="0058008E">
        <w:rPr>
          <w:rFonts w:ascii="Times New Roman" w:hAnsi="Times New Roman"/>
          <w:i w:val="0"/>
          <w:sz w:val="24"/>
        </w:rPr>
        <w:t xml:space="preserve">relacja rocznych obciążeń budżetu z tytułu spłaty długu do dochodów wyniosła </w:t>
      </w:r>
      <w:r w:rsidR="006B3835" w:rsidRPr="0058008E">
        <w:rPr>
          <w:rFonts w:ascii="Times New Roman" w:hAnsi="Times New Roman"/>
          <w:b w:val="0"/>
          <w:i w:val="0"/>
          <w:sz w:val="24"/>
        </w:rPr>
        <w:t>3</w:t>
      </w:r>
      <w:r w:rsidRPr="0058008E">
        <w:rPr>
          <w:rFonts w:ascii="Times New Roman" w:hAnsi="Times New Roman"/>
          <w:b w:val="0"/>
          <w:i w:val="0"/>
          <w:sz w:val="24"/>
        </w:rPr>
        <w:t>,</w:t>
      </w:r>
      <w:r w:rsidR="006B3835" w:rsidRPr="0058008E">
        <w:rPr>
          <w:rFonts w:ascii="Times New Roman" w:hAnsi="Times New Roman"/>
          <w:b w:val="0"/>
          <w:i w:val="0"/>
          <w:sz w:val="24"/>
        </w:rPr>
        <w:t>8</w:t>
      </w:r>
      <w:r w:rsidRPr="0058008E">
        <w:rPr>
          <w:rFonts w:ascii="Times New Roman" w:hAnsi="Times New Roman"/>
          <w:b w:val="0"/>
          <w:i w:val="0"/>
          <w:sz w:val="24"/>
        </w:rPr>
        <w:t>% (</w:t>
      </w:r>
      <w:r w:rsidR="006E1A57" w:rsidRPr="0058008E">
        <w:rPr>
          <w:rFonts w:ascii="Times New Roman" w:hAnsi="Times New Roman"/>
          <w:b w:val="0"/>
          <w:i w:val="0"/>
          <w:sz w:val="24"/>
        </w:rPr>
        <w:t>2</w:t>
      </w:r>
      <w:r w:rsidRPr="0058008E">
        <w:rPr>
          <w:rFonts w:ascii="Times New Roman" w:hAnsi="Times New Roman"/>
          <w:b w:val="0"/>
          <w:i w:val="0"/>
          <w:sz w:val="24"/>
        </w:rPr>
        <w:t>,</w:t>
      </w:r>
      <w:r w:rsidR="006E1A57" w:rsidRPr="0058008E">
        <w:rPr>
          <w:rFonts w:ascii="Times New Roman" w:hAnsi="Times New Roman"/>
          <w:b w:val="0"/>
          <w:i w:val="0"/>
          <w:sz w:val="24"/>
        </w:rPr>
        <w:t>9</w:t>
      </w:r>
      <w:r w:rsidR="00E328AD" w:rsidRPr="0058008E">
        <w:rPr>
          <w:rFonts w:ascii="Times New Roman" w:hAnsi="Times New Roman"/>
          <w:b w:val="0"/>
          <w:i w:val="0"/>
          <w:sz w:val="24"/>
        </w:rPr>
        <w:t>0</w:t>
      </w:r>
      <w:r w:rsidRPr="0058008E">
        <w:rPr>
          <w:rFonts w:ascii="Times New Roman" w:hAnsi="Times New Roman"/>
          <w:b w:val="0"/>
          <w:i w:val="0"/>
          <w:sz w:val="24"/>
        </w:rPr>
        <w:t>% w roku 202</w:t>
      </w:r>
      <w:r w:rsidR="006E1A57" w:rsidRPr="0058008E">
        <w:rPr>
          <w:rFonts w:ascii="Times New Roman" w:hAnsi="Times New Roman"/>
          <w:b w:val="0"/>
          <w:i w:val="0"/>
          <w:sz w:val="24"/>
        </w:rPr>
        <w:t>3</w:t>
      </w:r>
      <w:r w:rsidR="00E328AD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r., </w:t>
      </w:r>
      <w:r w:rsidR="002913D0" w:rsidRPr="0058008E">
        <w:rPr>
          <w:rFonts w:ascii="Times New Roman" w:hAnsi="Times New Roman"/>
          <w:b w:val="0"/>
          <w:i w:val="0"/>
          <w:sz w:val="24"/>
        </w:rPr>
        <w:t>2</w:t>
      </w:r>
      <w:r w:rsidRPr="0058008E">
        <w:rPr>
          <w:rFonts w:ascii="Times New Roman" w:hAnsi="Times New Roman"/>
          <w:b w:val="0"/>
          <w:i w:val="0"/>
          <w:sz w:val="24"/>
        </w:rPr>
        <w:t>,</w:t>
      </w:r>
      <w:r w:rsidR="002913D0" w:rsidRPr="0058008E">
        <w:rPr>
          <w:rFonts w:ascii="Times New Roman" w:hAnsi="Times New Roman"/>
          <w:b w:val="0"/>
          <w:i w:val="0"/>
          <w:sz w:val="24"/>
        </w:rPr>
        <w:t>45</w:t>
      </w:r>
      <w:r w:rsidRPr="0058008E">
        <w:rPr>
          <w:rFonts w:ascii="Times New Roman" w:hAnsi="Times New Roman"/>
          <w:b w:val="0"/>
          <w:i w:val="0"/>
          <w:sz w:val="24"/>
        </w:rPr>
        <w:t>% w 202</w:t>
      </w:r>
      <w:r w:rsidR="002913D0" w:rsidRPr="0058008E">
        <w:rPr>
          <w:rFonts w:ascii="Times New Roman" w:hAnsi="Times New Roman"/>
          <w:b w:val="0"/>
          <w:i w:val="0"/>
          <w:sz w:val="24"/>
        </w:rPr>
        <w:t>4</w:t>
      </w:r>
      <w:r w:rsidRPr="0058008E">
        <w:rPr>
          <w:rFonts w:ascii="Times New Roman" w:hAnsi="Times New Roman"/>
          <w:b w:val="0"/>
          <w:i w:val="0"/>
          <w:sz w:val="24"/>
        </w:rPr>
        <w:t xml:space="preserve"> r.), przy dopuszczalnej jej wielkości </w:t>
      </w:r>
      <w:r w:rsidR="00E328AD" w:rsidRPr="0058008E">
        <w:rPr>
          <w:rFonts w:ascii="Times New Roman" w:hAnsi="Times New Roman"/>
          <w:b w:val="0"/>
          <w:i w:val="0"/>
          <w:sz w:val="24"/>
        </w:rPr>
        <w:t>1</w:t>
      </w:r>
      <w:r w:rsidRPr="0058008E">
        <w:rPr>
          <w:rFonts w:ascii="Times New Roman" w:hAnsi="Times New Roman"/>
          <w:b w:val="0"/>
          <w:i w:val="0"/>
          <w:sz w:val="24"/>
        </w:rPr>
        <w:t>5%. Obrazuje to poniższy rysunek</w:t>
      </w:r>
    </w:p>
    <w:p w14:paraId="03DAF664" w14:textId="77777777" w:rsidR="006D3E5C" w:rsidRPr="0058008E" w:rsidRDefault="00746640" w:rsidP="00746640">
      <w:pPr>
        <w:pStyle w:val="Tekstpodstawowy2"/>
        <w:ind w:left="6521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              </w:t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</w:p>
    <w:p w14:paraId="22AF46D7" w14:textId="77777777" w:rsidR="00414A18" w:rsidRPr="0058008E" w:rsidRDefault="00414A18" w:rsidP="006D3E5C">
      <w:pPr>
        <w:pStyle w:val="Tekstpodstawowy2"/>
        <w:ind w:left="6521"/>
        <w:jc w:val="right"/>
        <w:rPr>
          <w:rFonts w:ascii="Times New Roman" w:hAnsi="Times New Roman"/>
          <w:b w:val="0"/>
          <w:i w:val="0"/>
          <w:color w:val="EE0000"/>
          <w:sz w:val="24"/>
        </w:rPr>
      </w:pPr>
    </w:p>
    <w:p w14:paraId="3A7B412D" w14:textId="2CB95056" w:rsidR="00746640" w:rsidRPr="0058008E" w:rsidRDefault="00746640" w:rsidP="006D3E5C">
      <w:pPr>
        <w:pStyle w:val="Tekstpodstawowy2"/>
        <w:ind w:left="6521"/>
        <w:jc w:val="right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Rys.</w:t>
      </w:r>
      <w:r w:rsidR="006D3E5C" w:rsidRPr="0058008E">
        <w:rPr>
          <w:rFonts w:ascii="Times New Roman" w:hAnsi="Times New Roman"/>
          <w:b w:val="0"/>
          <w:i w:val="0"/>
          <w:sz w:val="24"/>
        </w:rPr>
        <w:t>11</w:t>
      </w:r>
    </w:p>
    <w:p w14:paraId="25803EB5" w14:textId="77777777" w:rsidR="00746640" w:rsidRPr="0058008E" w:rsidRDefault="00746640" w:rsidP="00746640">
      <w:pPr>
        <w:pStyle w:val="Tekstpodstawowy2"/>
        <w:ind w:left="6521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45F3BFF9" w14:textId="25C99D28" w:rsidR="00746640" w:rsidRPr="0058008E" w:rsidRDefault="00A41B4A" w:rsidP="00746640">
      <w:pPr>
        <w:pStyle w:val="Tekstpodstawowy2"/>
        <w:ind w:left="60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noProof/>
          <w:color w:val="EE0000"/>
          <w:sz w:val="24"/>
        </w:rPr>
        <w:drawing>
          <wp:inline distT="0" distB="0" distL="0" distR="0" wp14:anchorId="6358CE52" wp14:editId="6334805C">
            <wp:extent cx="5010150" cy="1910564"/>
            <wp:effectExtent l="0" t="0" r="0" b="13970"/>
            <wp:docPr id="9" name="Obi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746640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</w:t>
      </w:r>
    </w:p>
    <w:p w14:paraId="33188BB9" w14:textId="77777777" w:rsidR="00746640" w:rsidRPr="0058008E" w:rsidRDefault="00746640" w:rsidP="00746640">
      <w:pPr>
        <w:pStyle w:val="Tekstpodstawowy2"/>
        <w:ind w:left="60"/>
        <w:jc w:val="center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  <w:r w:rsidRPr="0058008E">
        <w:rPr>
          <w:rFonts w:ascii="Times New Roman" w:hAnsi="Times New Roman"/>
          <w:b w:val="0"/>
          <w:i w:val="0"/>
          <w:color w:val="EE0000"/>
          <w:sz w:val="24"/>
        </w:rPr>
        <w:tab/>
      </w:r>
    </w:p>
    <w:p w14:paraId="185DB127" w14:textId="77777777" w:rsidR="006D3E5C" w:rsidRPr="0058008E" w:rsidRDefault="006D3E5C" w:rsidP="00746640">
      <w:pPr>
        <w:pStyle w:val="Tekstpodstawowy2"/>
        <w:ind w:left="60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23A44D5C" w14:textId="05273468" w:rsidR="002913D0" w:rsidRPr="0058008E" w:rsidRDefault="00746640" w:rsidP="00746640">
      <w:pPr>
        <w:pStyle w:val="Tekstpodstawowy2"/>
        <w:ind w:left="60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Dokonane w roku sprawozdawczym spłaty rat spowodowały obniżenie zobowiązań miasta z tytułu zaciągniętych kredytów</w:t>
      </w:r>
      <w:r w:rsidR="00471D4E" w:rsidRPr="0058008E">
        <w:rPr>
          <w:rFonts w:ascii="Times New Roman" w:hAnsi="Times New Roman"/>
          <w:b w:val="0"/>
          <w:i w:val="0"/>
          <w:sz w:val="24"/>
        </w:rPr>
        <w:t>,</w:t>
      </w:r>
      <w:r w:rsidR="006B3835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471D4E" w:rsidRPr="0058008E">
        <w:rPr>
          <w:rFonts w:ascii="Times New Roman" w:hAnsi="Times New Roman"/>
          <w:b w:val="0"/>
          <w:i w:val="0"/>
          <w:sz w:val="24"/>
        </w:rPr>
        <w:t xml:space="preserve">pożyczek i obligacji </w:t>
      </w:r>
      <w:r w:rsidRPr="0058008E">
        <w:rPr>
          <w:rFonts w:ascii="Times New Roman" w:hAnsi="Times New Roman"/>
          <w:b w:val="0"/>
          <w:i w:val="0"/>
          <w:sz w:val="24"/>
        </w:rPr>
        <w:t xml:space="preserve"> o </w:t>
      </w:r>
      <w:r w:rsidR="0064719B" w:rsidRPr="0058008E">
        <w:rPr>
          <w:rFonts w:ascii="Times New Roman" w:hAnsi="Times New Roman"/>
          <w:b w:val="0"/>
          <w:i w:val="0"/>
          <w:sz w:val="24"/>
        </w:rPr>
        <w:t>2</w:t>
      </w:r>
      <w:r w:rsidR="00B3585A" w:rsidRPr="0058008E">
        <w:rPr>
          <w:rFonts w:ascii="Times New Roman" w:hAnsi="Times New Roman"/>
          <w:b w:val="0"/>
          <w:i w:val="0"/>
          <w:sz w:val="24"/>
        </w:rPr>
        <w:t>0</w:t>
      </w:r>
      <w:r w:rsidRPr="0058008E">
        <w:rPr>
          <w:rFonts w:ascii="Times New Roman" w:hAnsi="Times New Roman"/>
          <w:b w:val="0"/>
          <w:i w:val="0"/>
          <w:sz w:val="24"/>
        </w:rPr>
        <w:t>,</w:t>
      </w:r>
      <w:r w:rsidR="00B3585A" w:rsidRPr="0058008E">
        <w:rPr>
          <w:rFonts w:ascii="Times New Roman" w:hAnsi="Times New Roman"/>
          <w:b w:val="0"/>
          <w:i w:val="0"/>
          <w:sz w:val="24"/>
        </w:rPr>
        <w:t>9</w:t>
      </w:r>
      <w:r w:rsidRPr="0058008E">
        <w:rPr>
          <w:rFonts w:ascii="Times New Roman" w:hAnsi="Times New Roman"/>
          <w:b w:val="0"/>
          <w:i w:val="0"/>
          <w:sz w:val="24"/>
        </w:rPr>
        <w:t xml:space="preserve"> mln zł,</w:t>
      </w:r>
      <w:r w:rsidR="00E328AD" w:rsidRPr="0058008E">
        <w:rPr>
          <w:rFonts w:ascii="Times New Roman" w:hAnsi="Times New Roman"/>
          <w:b w:val="0"/>
          <w:i w:val="0"/>
          <w:sz w:val="24"/>
        </w:rPr>
        <w:t xml:space="preserve"> natomiast z racji </w:t>
      </w:r>
      <w:r w:rsidR="008515A1" w:rsidRPr="0058008E">
        <w:rPr>
          <w:rFonts w:ascii="Times New Roman" w:hAnsi="Times New Roman"/>
          <w:b w:val="0"/>
          <w:i w:val="0"/>
          <w:sz w:val="24"/>
        </w:rPr>
        <w:t xml:space="preserve">zaciągnięcia pożyczki w kwocie </w:t>
      </w:r>
      <w:r w:rsidR="00F1713F" w:rsidRPr="0058008E">
        <w:rPr>
          <w:rFonts w:ascii="Times New Roman" w:hAnsi="Times New Roman"/>
          <w:b w:val="0"/>
          <w:i w:val="0"/>
          <w:sz w:val="24"/>
        </w:rPr>
        <w:t>10.000.000</w:t>
      </w:r>
      <w:r w:rsidR="008515A1" w:rsidRPr="0058008E">
        <w:rPr>
          <w:rFonts w:ascii="Times New Roman" w:hAnsi="Times New Roman"/>
          <w:b w:val="0"/>
          <w:i w:val="0"/>
          <w:sz w:val="24"/>
        </w:rPr>
        <w:t xml:space="preserve"> zł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i w:val="0"/>
          <w:sz w:val="24"/>
        </w:rPr>
        <w:t>wielkość zadłużenia</w:t>
      </w:r>
      <w:r w:rsidRPr="0058008E">
        <w:rPr>
          <w:rFonts w:ascii="Times New Roman" w:hAnsi="Times New Roman"/>
          <w:b w:val="0"/>
          <w:i w:val="0"/>
          <w:sz w:val="24"/>
        </w:rPr>
        <w:t xml:space="preserve"> na 31.12.202</w:t>
      </w:r>
      <w:r w:rsidR="00F1713F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 xml:space="preserve"> wyniosła ogółem </w:t>
      </w:r>
      <w:r w:rsidR="008515A1" w:rsidRPr="0058008E">
        <w:rPr>
          <w:rFonts w:ascii="Times New Roman" w:hAnsi="Times New Roman"/>
          <w:b w:val="0"/>
          <w:i w:val="0"/>
          <w:sz w:val="24"/>
        </w:rPr>
        <w:t>1</w:t>
      </w:r>
      <w:r w:rsidR="00F1713F" w:rsidRPr="0058008E">
        <w:rPr>
          <w:rFonts w:ascii="Times New Roman" w:hAnsi="Times New Roman"/>
          <w:b w:val="0"/>
          <w:i w:val="0"/>
          <w:sz w:val="24"/>
        </w:rPr>
        <w:t>00</w:t>
      </w:r>
      <w:r w:rsidRPr="0058008E">
        <w:rPr>
          <w:rFonts w:ascii="Times New Roman" w:hAnsi="Times New Roman"/>
          <w:b w:val="0"/>
          <w:i w:val="0"/>
          <w:sz w:val="24"/>
        </w:rPr>
        <w:t>.</w:t>
      </w:r>
      <w:r w:rsidR="00F1713F" w:rsidRPr="0058008E">
        <w:rPr>
          <w:rFonts w:ascii="Times New Roman" w:hAnsi="Times New Roman"/>
          <w:b w:val="0"/>
          <w:i w:val="0"/>
          <w:sz w:val="24"/>
        </w:rPr>
        <w:t>998</w:t>
      </w:r>
      <w:r w:rsidRPr="0058008E">
        <w:rPr>
          <w:rFonts w:ascii="Times New Roman" w:hAnsi="Times New Roman"/>
          <w:b w:val="0"/>
          <w:i w:val="0"/>
          <w:sz w:val="24"/>
        </w:rPr>
        <w:t>.</w:t>
      </w:r>
      <w:r w:rsidR="00F1713F" w:rsidRPr="0058008E">
        <w:rPr>
          <w:rFonts w:ascii="Times New Roman" w:hAnsi="Times New Roman"/>
          <w:b w:val="0"/>
          <w:i w:val="0"/>
          <w:sz w:val="24"/>
        </w:rPr>
        <w:t>859</w:t>
      </w:r>
      <w:r w:rsidRPr="0058008E">
        <w:rPr>
          <w:rFonts w:ascii="Times New Roman" w:hAnsi="Times New Roman"/>
          <w:b w:val="0"/>
          <w:i w:val="0"/>
          <w:sz w:val="24"/>
        </w:rPr>
        <w:t xml:space="preserve"> zł.    </w:t>
      </w:r>
    </w:p>
    <w:p w14:paraId="4FB510FF" w14:textId="432CAAE1" w:rsidR="00746640" w:rsidRPr="0058008E" w:rsidRDefault="00746640" w:rsidP="00746640">
      <w:pPr>
        <w:pStyle w:val="Tekstpodstawowy2"/>
        <w:ind w:left="60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                                                                                  </w:t>
      </w:r>
    </w:p>
    <w:p w14:paraId="7059E9D7" w14:textId="11B63EE2" w:rsidR="00746640" w:rsidRPr="0058008E" w:rsidRDefault="00746640" w:rsidP="00746640">
      <w:pPr>
        <w:pStyle w:val="Tekstpodstawowy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Wierzycielami zobowiązań miasta są:</w:t>
      </w:r>
    </w:p>
    <w:p w14:paraId="446CC9D4" w14:textId="77777777" w:rsidR="00746640" w:rsidRPr="0058008E" w:rsidRDefault="00746640" w:rsidP="00746640">
      <w:pPr>
        <w:pStyle w:val="Tekstpodstawowy2"/>
        <w:jc w:val="both"/>
        <w:rPr>
          <w:rFonts w:ascii="Times New Roman" w:hAnsi="Times New Roman"/>
          <w:b w:val="0"/>
          <w:i w:val="0"/>
          <w:strike/>
          <w:sz w:val="24"/>
          <w:szCs w:val="24"/>
        </w:rPr>
      </w:pPr>
    </w:p>
    <w:p w14:paraId="1C879313" w14:textId="5F2BFB64" w:rsidR="00746640" w:rsidRPr="0058008E" w:rsidRDefault="00746640" w:rsidP="00746640">
      <w:pPr>
        <w:pStyle w:val="Tekstpodstawowy2"/>
        <w:numPr>
          <w:ilvl w:val="0"/>
          <w:numId w:val="7"/>
        </w:numPr>
        <w:rPr>
          <w:rFonts w:ascii="Times New Roman" w:hAnsi="Times New Roman"/>
          <w:b w:val="0"/>
          <w:i w:val="0"/>
          <w:sz w:val="24"/>
          <w:szCs w:val="24"/>
        </w:rPr>
      </w:pPr>
      <w:bookmarkStart w:id="11" w:name="_Hlk161751793"/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PKO BP.SA </w:t>
      </w:r>
      <w:bookmarkEnd w:id="11"/>
      <w:proofErr w:type="spellStart"/>
      <w:r w:rsidRPr="0058008E">
        <w:rPr>
          <w:rFonts w:ascii="Times New Roman" w:hAnsi="Times New Roman"/>
          <w:b w:val="0"/>
          <w:i w:val="0"/>
          <w:sz w:val="24"/>
          <w:szCs w:val="24"/>
        </w:rPr>
        <w:t>Kredyt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,pożyczka</w:t>
      </w:r>
      <w:proofErr w:type="spellEnd"/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</w:t>
      </w:r>
      <w:r w:rsidR="008515A1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15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733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333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zł</w:t>
      </w:r>
    </w:p>
    <w:p w14:paraId="1E7C26DF" w14:textId="3291C4E7" w:rsidR="002334CC" w:rsidRPr="0058008E" w:rsidRDefault="002334CC" w:rsidP="00746640">
      <w:pPr>
        <w:pStyle w:val="Tekstpodstawowy2"/>
        <w:numPr>
          <w:ilvl w:val="0"/>
          <w:numId w:val="7"/>
        </w:numPr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PKO BP.SA obligacje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ab/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ab/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ab/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ab/>
      </w:r>
      <w:r w:rsidR="009D72BE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     </w:t>
      </w:r>
      <w:r w:rsidR="008515A1" w:rsidRPr="0058008E">
        <w:rPr>
          <w:rFonts w:ascii="Times New Roman" w:hAnsi="Times New Roman"/>
          <w:b w:val="0"/>
          <w:i w:val="0"/>
          <w:sz w:val="24"/>
          <w:szCs w:val="24"/>
        </w:rPr>
        <w:t>5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8515A1" w:rsidRPr="0058008E">
        <w:rPr>
          <w:rFonts w:ascii="Times New Roman" w:hAnsi="Times New Roman"/>
          <w:b w:val="0"/>
          <w:i w:val="0"/>
          <w:sz w:val="24"/>
          <w:szCs w:val="24"/>
        </w:rPr>
        <w:t>0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00.000 zł</w:t>
      </w:r>
    </w:p>
    <w:p w14:paraId="1FF94443" w14:textId="6E289D5A" w:rsidR="00475B16" w:rsidRPr="0058008E" w:rsidRDefault="00746640" w:rsidP="00746640">
      <w:pPr>
        <w:pStyle w:val="Tekstpodstawowy2"/>
        <w:numPr>
          <w:ilvl w:val="0"/>
          <w:numId w:val="7"/>
        </w:numPr>
        <w:rPr>
          <w:rFonts w:ascii="Times New Roman" w:hAnsi="Times New Roman"/>
          <w:b w:val="0"/>
          <w:i w:val="0"/>
          <w:sz w:val="24"/>
          <w:szCs w:val="24"/>
        </w:rPr>
      </w:pPr>
      <w:bookmarkStart w:id="12" w:name="_Hlk193715102"/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Bank Gospodarstwa Krajowego </w:t>
      </w:r>
      <w:bookmarkEnd w:id="12"/>
      <w:r w:rsidRPr="0058008E">
        <w:rPr>
          <w:rFonts w:ascii="Times New Roman" w:hAnsi="Times New Roman"/>
          <w:b w:val="0"/>
          <w:i w:val="0"/>
          <w:sz w:val="24"/>
          <w:szCs w:val="24"/>
        </w:rPr>
        <w:t>obligacje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ab/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ab/>
      </w:r>
      <w:r w:rsidR="009D72BE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     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25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00.000 zł</w:t>
      </w:r>
    </w:p>
    <w:p w14:paraId="1821F734" w14:textId="7A114EAA" w:rsidR="00746640" w:rsidRPr="0058008E" w:rsidRDefault="00475B16" w:rsidP="00746640">
      <w:pPr>
        <w:pStyle w:val="Tekstpodstawowy2"/>
        <w:numPr>
          <w:ilvl w:val="0"/>
          <w:numId w:val="7"/>
        </w:numPr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Bank Gospodarstwa Krajowego pożyczka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ab/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ab/>
        <w:t xml:space="preserve">  </w:t>
      </w:r>
      <w:r w:rsidR="009D72BE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     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265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F1713F" w:rsidRPr="0058008E">
        <w:rPr>
          <w:rFonts w:ascii="Times New Roman" w:hAnsi="Times New Roman"/>
          <w:b w:val="0"/>
          <w:i w:val="0"/>
          <w:sz w:val="24"/>
          <w:szCs w:val="24"/>
        </w:rPr>
        <w:t>526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zł</w:t>
      </w:r>
    </w:p>
    <w:p w14:paraId="6A153B50" w14:textId="77777777" w:rsidR="00746640" w:rsidRPr="0058008E" w:rsidRDefault="00746640" w:rsidP="00746640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bookmarkEnd w:id="10"/>
    <w:p w14:paraId="03A2EFB6" w14:textId="77777777" w:rsidR="00102B88" w:rsidRDefault="00102B88" w:rsidP="00EA441E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color w:val="EE0000"/>
          <w:sz w:val="24"/>
          <w:szCs w:val="24"/>
        </w:rPr>
      </w:pPr>
    </w:p>
    <w:p w14:paraId="58026BDA" w14:textId="77777777" w:rsidR="00D35BB9" w:rsidRDefault="00D35BB9" w:rsidP="00EA441E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color w:val="EE0000"/>
          <w:sz w:val="24"/>
          <w:szCs w:val="24"/>
        </w:rPr>
      </w:pPr>
    </w:p>
    <w:p w14:paraId="75AA6E62" w14:textId="77777777" w:rsidR="00D35BB9" w:rsidRPr="0058008E" w:rsidRDefault="00D35BB9" w:rsidP="00EA441E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color w:val="EE0000"/>
          <w:sz w:val="24"/>
          <w:szCs w:val="24"/>
        </w:rPr>
      </w:pPr>
    </w:p>
    <w:p w14:paraId="1CD2D609" w14:textId="77777777" w:rsidR="00EA3817" w:rsidRPr="0058008E" w:rsidRDefault="00EA3817" w:rsidP="00EA441E">
      <w:pPr>
        <w:pStyle w:val="Tekstpodstawowy2"/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  <w:szCs w:val="24"/>
        </w:rPr>
      </w:pPr>
      <w:r w:rsidRPr="0058008E">
        <w:rPr>
          <w:rFonts w:ascii="Times New Roman" w:hAnsi="Times New Roman"/>
          <w:i w:val="0"/>
          <w:sz w:val="24"/>
          <w:szCs w:val="24"/>
        </w:rPr>
        <w:lastRenderedPageBreak/>
        <w:t>P</w:t>
      </w:r>
      <w:r w:rsidR="003E6B12" w:rsidRPr="0058008E">
        <w:rPr>
          <w:rFonts w:ascii="Times New Roman" w:hAnsi="Times New Roman"/>
          <w:i w:val="0"/>
          <w:sz w:val="24"/>
          <w:szCs w:val="24"/>
        </w:rPr>
        <w:t>ODSUMOWANIE</w:t>
      </w:r>
    </w:p>
    <w:p w14:paraId="7C738670" w14:textId="769A40C0" w:rsidR="005B3893" w:rsidRPr="0058008E" w:rsidRDefault="005B3893" w:rsidP="00EA441E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Realizacja budż</w:t>
      </w:r>
      <w:r w:rsidR="000F2F80" w:rsidRPr="0058008E">
        <w:rPr>
          <w:rFonts w:ascii="Times New Roman" w:hAnsi="Times New Roman"/>
          <w:b w:val="0"/>
          <w:i w:val="0"/>
          <w:sz w:val="24"/>
        </w:rPr>
        <w:t>etu miasta Sopotu na koniec 20</w:t>
      </w:r>
      <w:r w:rsidR="00B51970" w:rsidRPr="0058008E">
        <w:rPr>
          <w:rFonts w:ascii="Times New Roman" w:hAnsi="Times New Roman"/>
          <w:b w:val="0"/>
          <w:i w:val="0"/>
          <w:sz w:val="24"/>
        </w:rPr>
        <w:t>2</w:t>
      </w:r>
      <w:r w:rsidR="002E4510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>roku wyniosła:</w:t>
      </w:r>
    </w:p>
    <w:p w14:paraId="76F9741D" w14:textId="5C7EC3E7" w:rsidR="005B3893" w:rsidRPr="0058008E" w:rsidRDefault="005B3893" w:rsidP="00133AA9">
      <w:pPr>
        <w:pStyle w:val="Tekstpodstawowy2"/>
        <w:numPr>
          <w:ilvl w:val="0"/>
          <w:numId w:val="8"/>
        </w:numPr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w zakresie </w:t>
      </w:r>
      <w:r w:rsidR="006671A3" w:rsidRPr="0058008E">
        <w:rPr>
          <w:rFonts w:ascii="Times New Roman" w:hAnsi="Times New Roman"/>
          <w:bCs/>
          <w:sz w:val="24"/>
          <w:u w:val="single"/>
        </w:rPr>
        <w:t>dochodów</w:t>
      </w:r>
      <w:r w:rsidR="006671A3" w:rsidRPr="0058008E">
        <w:rPr>
          <w:rFonts w:ascii="Times New Roman" w:hAnsi="Times New Roman"/>
          <w:bCs/>
          <w:i w:val="0"/>
          <w:sz w:val="24"/>
        </w:rPr>
        <w:t xml:space="preserve"> </w:t>
      </w:r>
      <w:r w:rsidR="002E4510" w:rsidRPr="0058008E">
        <w:rPr>
          <w:rFonts w:ascii="Times New Roman" w:hAnsi="Times New Roman"/>
          <w:bCs/>
          <w:i w:val="0"/>
          <w:sz w:val="24"/>
        </w:rPr>
        <w:t>537.87</w:t>
      </w:r>
      <w:r w:rsidR="00EC24B5">
        <w:rPr>
          <w:rFonts w:ascii="Times New Roman" w:hAnsi="Times New Roman"/>
          <w:bCs/>
          <w:i w:val="0"/>
          <w:sz w:val="24"/>
        </w:rPr>
        <w:t>0</w:t>
      </w:r>
      <w:r w:rsidR="002E4510" w:rsidRPr="0058008E">
        <w:rPr>
          <w:rFonts w:ascii="Times New Roman" w:hAnsi="Times New Roman"/>
          <w:bCs/>
          <w:i w:val="0"/>
          <w:sz w:val="24"/>
        </w:rPr>
        <w:t>.</w:t>
      </w:r>
      <w:r w:rsidR="00EC24B5">
        <w:rPr>
          <w:rFonts w:ascii="Times New Roman" w:hAnsi="Times New Roman"/>
          <w:bCs/>
          <w:i w:val="0"/>
          <w:sz w:val="24"/>
        </w:rPr>
        <w:t>929</w:t>
      </w:r>
      <w:r w:rsidR="009B7A8D" w:rsidRPr="0058008E">
        <w:rPr>
          <w:rFonts w:ascii="Times New Roman" w:hAnsi="Times New Roman"/>
          <w:bCs/>
          <w:sz w:val="24"/>
        </w:rPr>
        <w:t xml:space="preserve"> </w:t>
      </w:r>
      <w:r w:rsidR="00E30D50" w:rsidRPr="0058008E">
        <w:rPr>
          <w:rFonts w:ascii="Times New Roman" w:hAnsi="Times New Roman"/>
          <w:bCs/>
          <w:sz w:val="24"/>
        </w:rPr>
        <w:t>zł</w:t>
      </w:r>
      <w:r w:rsidRPr="0058008E">
        <w:rPr>
          <w:rFonts w:ascii="Times New Roman" w:hAnsi="Times New Roman"/>
          <w:b w:val="0"/>
          <w:sz w:val="24"/>
        </w:rPr>
        <w:t xml:space="preserve">, co </w:t>
      </w:r>
      <w:r w:rsidR="00BD34A7" w:rsidRPr="0058008E">
        <w:rPr>
          <w:rFonts w:ascii="Times New Roman" w:hAnsi="Times New Roman"/>
          <w:b w:val="0"/>
          <w:sz w:val="24"/>
        </w:rPr>
        <w:t xml:space="preserve">stanowiło </w:t>
      </w:r>
      <w:r w:rsidR="002E4510" w:rsidRPr="0058008E">
        <w:rPr>
          <w:rFonts w:ascii="Times New Roman" w:hAnsi="Times New Roman"/>
          <w:b w:val="0"/>
          <w:sz w:val="24"/>
        </w:rPr>
        <w:t>88,80</w:t>
      </w:r>
      <w:r w:rsidRPr="0058008E">
        <w:rPr>
          <w:rFonts w:ascii="Times New Roman" w:hAnsi="Times New Roman"/>
          <w:b w:val="0"/>
          <w:sz w:val="24"/>
        </w:rPr>
        <w:t>%</w:t>
      </w:r>
      <w:r w:rsidRPr="0058008E">
        <w:rPr>
          <w:rFonts w:ascii="Times New Roman" w:hAnsi="Times New Roman"/>
          <w:b w:val="0"/>
          <w:i w:val="0"/>
          <w:sz w:val="24"/>
        </w:rPr>
        <w:t xml:space="preserve"> ich prognozy</w:t>
      </w:r>
      <w:r w:rsidR="009823E9" w:rsidRPr="0058008E">
        <w:rPr>
          <w:rFonts w:ascii="Times New Roman" w:hAnsi="Times New Roman"/>
          <w:b w:val="0"/>
          <w:i w:val="0"/>
          <w:sz w:val="24"/>
        </w:rPr>
        <w:t>.</w:t>
      </w:r>
    </w:p>
    <w:p w14:paraId="5AE87F6F" w14:textId="0652CF9E" w:rsidR="006B212E" w:rsidRPr="0058008E" w:rsidRDefault="009B7A8D" w:rsidP="00133AA9">
      <w:pPr>
        <w:pStyle w:val="Tekstpodstawowy2"/>
        <w:numPr>
          <w:ilvl w:val="0"/>
          <w:numId w:val="8"/>
        </w:numPr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w </w:t>
      </w:r>
      <w:r w:rsidR="005B3893" w:rsidRPr="0058008E">
        <w:rPr>
          <w:rFonts w:ascii="Times New Roman" w:hAnsi="Times New Roman"/>
          <w:b w:val="0"/>
          <w:i w:val="0"/>
          <w:sz w:val="24"/>
        </w:rPr>
        <w:t xml:space="preserve">zakresie </w:t>
      </w:r>
      <w:r w:rsidR="006671A3" w:rsidRPr="0058008E">
        <w:rPr>
          <w:rFonts w:ascii="Times New Roman" w:hAnsi="Times New Roman"/>
          <w:sz w:val="24"/>
          <w:u w:val="single"/>
        </w:rPr>
        <w:t>wydatków</w:t>
      </w:r>
      <w:r w:rsidR="006671A3" w:rsidRPr="0058008E">
        <w:rPr>
          <w:rFonts w:ascii="Times New Roman" w:hAnsi="Times New Roman"/>
          <w:sz w:val="24"/>
        </w:rPr>
        <w:t xml:space="preserve"> </w:t>
      </w:r>
      <w:r w:rsidR="002E4510" w:rsidRPr="0058008E">
        <w:rPr>
          <w:rFonts w:ascii="Times New Roman" w:hAnsi="Times New Roman"/>
          <w:sz w:val="24"/>
        </w:rPr>
        <w:t>553.225.800</w:t>
      </w:r>
      <w:r w:rsidR="00D552D6" w:rsidRPr="0058008E">
        <w:rPr>
          <w:rFonts w:ascii="Times New Roman" w:hAnsi="Times New Roman"/>
          <w:sz w:val="24"/>
        </w:rPr>
        <w:t xml:space="preserve"> zł</w:t>
      </w:r>
      <w:r w:rsidR="00D87B30" w:rsidRPr="0058008E">
        <w:rPr>
          <w:rFonts w:ascii="Times New Roman" w:hAnsi="Times New Roman"/>
          <w:sz w:val="24"/>
        </w:rPr>
        <w:t>,</w:t>
      </w:r>
      <w:r w:rsidR="00026335" w:rsidRPr="0058008E">
        <w:rPr>
          <w:rFonts w:ascii="Times New Roman" w:hAnsi="Times New Roman"/>
          <w:sz w:val="24"/>
        </w:rPr>
        <w:t xml:space="preserve"> </w:t>
      </w:r>
      <w:r w:rsidR="005B3893" w:rsidRPr="0058008E">
        <w:rPr>
          <w:rFonts w:ascii="Times New Roman" w:hAnsi="Times New Roman"/>
          <w:b w:val="0"/>
          <w:sz w:val="24"/>
        </w:rPr>
        <w:t>co</w:t>
      </w:r>
      <w:r w:rsidR="005B3893" w:rsidRPr="0058008E">
        <w:rPr>
          <w:rFonts w:ascii="Times New Roman" w:hAnsi="Times New Roman"/>
          <w:b w:val="0"/>
          <w:color w:val="EE0000"/>
          <w:sz w:val="24"/>
        </w:rPr>
        <w:t xml:space="preserve"> </w:t>
      </w:r>
      <w:r w:rsidR="005B3893" w:rsidRPr="0058008E">
        <w:rPr>
          <w:rFonts w:ascii="Times New Roman" w:hAnsi="Times New Roman"/>
          <w:b w:val="0"/>
          <w:sz w:val="24"/>
        </w:rPr>
        <w:t>stanowiło</w:t>
      </w:r>
      <w:r w:rsidR="004928B7" w:rsidRPr="0058008E">
        <w:rPr>
          <w:rFonts w:ascii="Times New Roman" w:hAnsi="Times New Roman"/>
          <w:b w:val="0"/>
          <w:sz w:val="24"/>
        </w:rPr>
        <w:t xml:space="preserve"> </w:t>
      </w:r>
      <w:r w:rsidR="008E604B" w:rsidRPr="0058008E">
        <w:rPr>
          <w:rFonts w:ascii="Times New Roman" w:hAnsi="Times New Roman"/>
          <w:b w:val="0"/>
          <w:sz w:val="24"/>
        </w:rPr>
        <w:t>93,26</w:t>
      </w:r>
      <w:r w:rsidR="005B3893" w:rsidRPr="0058008E">
        <w:rPr>
          <w:rFonts w:ascii="Times New Roman" w:hAnsi="Times New Roman"/>
          <w:b w:val="0"/>
          <w:sz w:val="24"/>
        </w:rPr>
        <w:t>%</w:t>
      </w:r>
      <w:r w:rsidR="005B3893" w:rsidRPr="0058008E">
        <w:rPr>
          <w:rFonts w:ascii="Times New Roman" w:hAnsi="Times New Roman"/>
          <w:b w:val="0"/>
          <w:i w:val="0"/>
          <w:sz w:val="24"/>
        </w:rPr>
        <w:t xml:space="preserve"> zakładanego planu.</w:t>
      </w:r>
    </w:p>
    <w:p w14:paraId="1B55FA7F" w14:textId="77777777" w:rsidR="00D552D6" w:rsidRPr="0058008E" w:rsidRDefault="00D552D6" w:rsidP="001B1A63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bookmarkStart w:id="13" w:name="_Hlk74829812"/>
    </w:p>
    <w:p w14:paraId="1E62CA35" w14:textId="5C73C556" w:rsidR="001B1A63" w:rsidRPr="0058008E" w:rsidRDefault="001B1A63" w:rsidP="001B1A63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Rok 202</w:t>
      </w:r>
      <w:r w:rsidR="00F1713F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 xml:space="preserve"> zakończył się deficytem budżetowym w wysokości </w:t>
      </w:r>
      <w:r w:rsidR="005D6C7A" w:rsidRPr="0058008E">
        <w:rPr>
          <w:rFonts w:ascii="Times New Roman" w:hAnsi="Times New Roman"/>
          <w:b w:val="0"/>
          <w:i w:val="0"/>
          <w:sz w:val="24"/>
        </w:rPr>
        <w:t xml:space="preserve">  </w:t>
      </w:r>
      <w:r w:rsidRPr="0058008E">
        <w:rPr>
          <w:rFonts w:ascii="Times New Roman" w:hAnsi="Times New Roman"/>
          <w:b w:val="0"/>
          <w:i w:val="0"/>
          <w:sz w:val="24"/>
        </w:rPr>
        <w:t xml:space="preserve">– </w:t>
      </w:r>
      <w:r w:rsidR="00FD626D" w:rsidRPr="0058008E">
        <w:rPr>
          <w:rFonts w:ascii="Times New Roman" w:hAnsi="Times New Roman"/>
          <w:b w:val="0"/>
          <w:i w:val="0"/>
          <w:sz w:val="24"/>
        </w:rPr>
        <w:t>15</w:t>
      </w:r>
      <w:r w:rsidR="009823E9" w:rsidRPr="0058008E">
        <w:rPr>
          <w:rFonts w:ascii="Times New Roman" w:hAnsi="Times New Roman"/>
          <w:b w:val="0"/>
          <w:i w:val="0"/>
          <w:sz w:val="24"/>
        </w:rPr>
        <w:t>.</w:t>
      </w:r>
      <w:r w:rsidR="00FD626D" w:rsidRPr="0058008E">
        <w:rPr>
          <w:rFonts w:ascii="Times New Roman" w:hAnsi="Times New Roman"/>
          <w:b w:val="0"/>
          <w:i w:val="0"/>
          <w:sz w:val="24"/>
        </w:rPr>
        <w:t>35</w:t>
      </w:r>
      <w:r w:rsidR="00EC24B5">
        <w:rPr>
          <w:rFonts w:ascii="Times New Roman" w:hAnsi="Times New Roman"/>
          <w:b w:val="0"/>
          <w:i w:val="0"/>
          <w:sz w:val="24"/>
        </w:rPr>
        <w:t>4</w:t>
      </w:r>
      <w:r w:rsidR="009823E9" w:rsidRPr="0058008E">
        <w:rPr>
          <w:rFonts w:ascii="Times New Roman" w:hAnsi="Times New Roman"/>
          <w:b w:val="0"/>
          <w:i w:val="0"/>
          <w:sz w:val="24"/>
        </w:rPr>
        <w:t>.</w:t>
      </w:r>
      <w:r w:rsidR="00EC24B5">
        <w:rPr>
          <w:rFonts w:ascii="Times New Roman" w:hAnsi="Times New Roman"/>
          <w:b w:val="0"/>
          <w:i w:val="0"/>
          <w:sz w:val="24"/>
        </w:rPr>
        <w:t>872</w:t>
      </w:r>
      <w:r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21"/>
      </w:r>
      <w:r w:rsidRPr="0058008E">
        <w:rPr>
          <w:rFonts w:ascii="Times New Roman" w:hAnsi="Times New Roman"/>
          <w:b w:val="0"/>
          <w:i w:val="0"/>
          <w:sz w:val="24"/>
        </w:rPr>
        <w:t xml:space="preserve">. </w:t>
      </w:r>
      <w:r w:rsidR="00E3098C" w:rsidRPr="0058008E">
        <w:rPr>
          <w:rFonts w:ascii="Times New Roman" w:hAnsi="Times New Roman"/>
          <w:b w:val="0"/>
          <w:i w:val="0"/>
          <w:sz w:val="24"/>
        </w:rPr>
        <w:t>W roku 202</w:t>
      </w:r>
      <w:r w:rsidR="00FD626D" w:rsidRPr="0058008E">
        <w:rPr>
          <w:rFonts w:ascii="Times New Roman" w:hAnsi="Times New Roman"/>
          <w:b w:val="0"/>
          <w:i w:val="0"/>
          <w:sz w:val="24"/>
        </w:rPr>
        <w:t>5</w:t>
      </w:r>
      <w:r w:rsidR="00E3098C" w:rsidRPr="0058008E">
        <w:rPr>
          <w:rFonts w:ascii="Times New Roman" w:hAnsi="Times New Roman"/>
          <w:b w:val="0"/>
          <w:i w:val="0"/>
          <w:sz w:val="24"/>
        </w:rPr>
        <w:t xml:space="preserve"> nie została w</w:t>
      </w:r>
      <w:r w:rsidRPr="0058008E">
        <w:rPr>
          <w:rFonts w:ascii="Times New Roman" w:hAnsi="Times New Roman"/>
          <w:b w:val="0"/>
          <w:i w:val="0"/>
          <w:sz w:val="24"/>
        </w:rPr>
        <w:t xml:space="preserve">ypracowana nadwyżka operacyjna </w:t>
      </w:r>
      <w:r w:rsidR="00E3098C" w:rsidRPr="0058008E">
        <w:rPr>
          <w:rFonts w:ascii="Times New Roman" w:hAnsi="Times New Roman"/>
          <w:b w:val="0"/>
          <w:i w:val="0"/>
          <w:sz w:val="24"/>
        </w:rPr>
        <w:t>a deficyt</w:t>
      </w:r>
      <w:r w:rsidR="005D6C7A" w:rsidRPr="0058008E">
        <w:rPr>
          <w:rFonts w:ascii="Times New Roman" w:hAnsi="Times New Roman"/>
          <w:b w:val="0"/>
          <w:i w:val="0"/>
          <w:sz w:val="24"/>
        </w:rPr>
        <w:t xml:space="preserve"> bieżący</w:t>
      </w:r>
      <w:r w:rsidR="00E3098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671A3" w:rsidRPr="0058008E">
        <w:rPr>
          <w:rFonts w:ascii="Times New Roman" w:hAnsi="Times New Roman"/>
          <w:b w:val="0"/>
          <w:i w:val="0"/>
          <w:sz w:val="24"/>
        </w:rPr>
        <w:t>wyniósł -</w:t>
      </w:r>
      <w:r w:rsidR="00FD626D" w:rsidRPr="0058008E">
        <w:rPr>
          <w:rFonts w:ascii="Times New Roman" w:hAnsi="Times New Roman"/>
          <w:b w:val="0"/>
          <w:i w:val="0"/>
          <w:sz w:val="24"/>
        </w:rPr>
        <w:t>1.007</w:t>
      </w:r>
      <w:r w:rsidR="009823E9" w:rsidRPr="0058008E">
        <w:rPr>
          <w:rFonts w:ascii="Times New Roman" w:hAnsi="Times New Roman"/>
          <w:b w:val="0"/>
          <w:i w:val="0"/>
          <w:sz w:val="24"/>
        </w:rPr>
        <w:t>.</w:t>
      </w:r>
      <w:r w:rsidR="00FD626D" w:rsidRPr="0058008E">
        <w:rPr>
          <w:rFonts w:ascii="Times New Roman" w:hAnsi="Times New Roman"/>
          <w:b w:val="0"/>
          <w:i w:val="0"/>
          <w:sz w:val="24"/>
        </w:rPr>
        <w:t>006</w:t>
      </w:r>
      <w:r w:rsidR="00E3098C" w:rsidRPr="0058008E">
        <w:rPr>
          <w:rFonts w:ascii="Times New Roman" w:hAnsi="Times New Roman"/>
          <w:b w:val="0"/>
          <w:i w:val="0"/>
          <w:sz w:val="24"/>
        </w:rPr>
        <w:t xml:space="preserve"> zł</w:t>
      </w:r>
      <w:r w:rsidR="00FD626D" w:rsidRPr="0058008E">
        <w:rPr>
          <w:rFonts w:ascii="Times New Roman" w:hAnsi="Times New Roman"/>
          <w:b w:val="0"/>
          <w:i w:val="0"/>
          <w:sz w:val="24"/>
        </w:rPr>
        <w:t>,</w:t>
      </w:r>
      <w:r w:rsidR="00E3098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 (w roku 202</w:t>
      </w:r>
      <w:r w:rsidR="00FD626D" w:rsidRPr="0058008E">
        <w:rPr>
          <w:rFonts w:ascii="Times New Roman" w:hAnsi="Times New Roman"/>
          <w:b w:val="0"/>
          <w:i w:val="0"/>
          <w:sz w:val="24"/>
        </w:rPr>
        <w:t>4</w:t>
      </w:r>
      <w:r w:rsidR="00E3098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FD626D" w:rsidRPr="0058008E">
        <w:rPr>
          <w:rFonts w:ascii="Times New Roman" w:hAnsi="Times New Roman"/>
          <w:b w:val="0"/>
          <w:i w:val="0"/>
          <w:sz w:val="24"/>
        </w:rPr>
        <w:t xml:space="preserve">deficyt wyniósł </w:t>
      </w:r>
      <w:r w:rsidR="0064719B" w:rsidRPr="0058008E">
        <w:rPr>
          <w:rFonts w:ascii="Times New Roman" w:hAnsi="Times New Roman"/>
          <w:b w:val="0"/>
          <w:i w:val="0"/>
          <w:sz w:val="24"/>
        </w:rPr>
        <w:t xml:space="preserve">mln </w:t>
      </w:r>
      <w:r w:rsidR="00FD626D" w:rsidRPr="0058008E">
        <w:rPr>
          <w:rFonts w:ascii="Times New Roman" w:hAnsi="Times New Roman"/>
          <w:b w:val="0"/>
          <w:i w:val="0"/>
          <w:sz w:val="24"/>
        </w:rPr>
        <w:t xml:space="preserve">- 49.466.935 </w:t>
      </w:r>
      <w:r w:rsidR="0064719B" w:rsidRPr="0058008E">
        <w:rPr>
          <w:rFonts w:ascii="Times New Roman" w:hAnsi="Times New Roman"/>
          <w:b w:val="0"/>
          <w:i w:val="0"/>
          <w:sz w:val="24"/>
        </w:rPr>
        <w:t>zł</w:t>
      </w:r>
      <w:r w:rsidR="00FD626D" w:rsidRPr="0058008E">
        <w:rPr>
          <w:rFonts w:ascii="Times New Roman" w:hAnsi="Times New Roman"/>
          <w:b w:val="0"/>
          <w:i w:val="0"/>
          <w:sz w:val="24"/>
        </w:rPr>
        <w:t xml:space="preserve">, a </w:t>
      </w:r>
      <w:r w:rsidRPr="0058008E">
        <w:rPr>
          <w:rFonts w:ascii="Times New Roman" w:hAnsi="Times New Roman"/>
          <w:b w:val="0"/>
          <w:i w:val="0"/>
          <w:sz w:val="24"/>
        </w:rPr>
        <w:t>w roku 202</w:t>
      </w:r>
      <w:r w:rsidR="00FD626D" w:rsidRPr="0058008E">
        <w:rPr>
          <w:rFonts w:ascii="Times New Roman" w:hAnsi="Times New Roman"/>
          <w:b w:val="0"/>
          <w:i w:val="0"/>
          <w:sz w:val="24"/>
        </w:rPr>
        <w:t>3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bookmarkStart w:id="14" w:name="_Hlk224650823"/>
      <w:r w:rsidR="00FD626D" w:rsidRPr="0058008E">
        <w:rPr>
          <w:rFonts w:ascii="Times New Roman" w:hAnsi="Times New Roman"/>
          <w:b w:val="0"/>
          <w:i w:val="0"/>
          <w:sz w:val="24"/>
        </w:rPr>
        <w:t xml:space="preserve">deficyt wyniósł </w:t>
      </w:r>
      <w:bookmarkEnd w:id="14"/>
      <w:r w:rsidR="00FD626D" w:rsidRPr="0058008E">
        <w:rPr>
          <w:rFonts w:ascii="Times New Roman" w:hAnsi="Times New Roman"/>
          <w:b w:val="0"/>
          <w:i w:val="0"/>
          <w:sz w:val="24"/>
        </w:rPr>
        <w:t>-1,8</w:t>
      </w:r>
      <w:r w:rsidRPr="0058008E">
        <w:rPr>
          <w:rFonts w:ascii="Times New Roman" w:hAnsi="Times New Roman"/>
          <w:b w:val="0"/>
          <w:i w:val="0"/>
          <w:sz w:val="24"/>
        </w:rPr>
        <w:t xml:space="preserve">)                           </w:t>
      </w:r>
    </w:p>
    <w:p w14:paraId="32FFB951" w14:textId="77777777" w:rsidR="008E604B" w:rsidRPr="0058008E" w:rsidRDefault="001B1A63" w:rsidP="001B1A63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                                                                                                  </w:t>
      </w:r>
    </w:p>
    <w:p w14:paraId="4EF4047B" w14:textId="6FDAABDA" w:rsidR="001B1A63" w:rsidRPr="0058008E" w:rsidRDefault="001B1A63" w:rsidP="001B1A63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>Tab. VIII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2241"/>
        <w:gridCol w:w="2538"/>
        <w:gridCol w:w="2239"/>
      </w:tblGrid>
      <w:tr w:rsidR="003A056D" w:rsidRPr="0058008E" w14:paraId="3FC8253B" w14:textId="77777777" w:rsidTr="00393429">
        <w:trPr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C97D" w14:textId="77777777" w:rsidR="001B1A63" w:rsidRPr="0058008E" w:rsidRDefault="001B1A63">
            <w:pPr>
              <w:pStyle w:val="Tekstpodstawowy2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58008E">
              <w:rPr>
                <w:rFonts w:ascii="Times New Roman" w:hAnsi="Times New Roman"/>
                <w:b w:val="0"/>
                <w:sz w:val="24"/>
              </w:rPr>
              <w:t>wyszczególnienie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7BFB" w14:textId="77777777" w:rsidR="001B1A63" w:rsidRPr="0058008E" w:rsidRDefault="001B1A63">
            <w:pPr>
              <w:pStyle w:val="Tekstpodstawowy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58008E">
              <w:rPr>
                <w:rFonts w:ascii="Times New Roman" w:hAnsi="Times New Roman"/>
                <w:b w:val="0"/>
                <w:sz w:val="24"/>
              </w:rPr>
              <w:t>Dochody (w zł)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0F2B" w14:textId="77777777" w:rsidR="001B1A63" w:rsidRPr="0058008E" w:rsidRDefault="001B1A63">
            <w:pPr>
              <w:pStyle w:val="Tekstpodstawowy2"/>
              <w:jc w:val="center"/>
              <w:rPr>
                <w:rFonts w:ascii="Times New Roman" w:hAnsi="Times New Roman"/>
                <w:b w:val="0"/>
                <w:color w:val="EE0000"/>
                <w:sz w:val="24"/>
              </w:rPr>
            </w:pPr>
            <w:r w:rsidRPr="0058008E">
              <w:rPr>
                <w:rFonts w:ascii="Times New Roman" w:hAnsi="Times New Roman"/>
                <w:b w:val="0"/>
                <w:sz w:val="24"/>
              </w:rPr>
              <w:t>Wydatki (w zł)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E44D" w14:textId="77777777" w:rsidR="001B1A63" w:rsidRPr="0058008E" w:rsidRDefault="001B1A63">
            <w:pPr>
              <w:pStyle w:val="Tekstpodstawowy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58008E">
              <w:rPr>
                <w:rFonts w:ascii="Times New Roman" w:hAnsi="Times New Roman"/>
                <w:b w:val="0"/>
                <w:sz w:val="24"/>
              </w:rPr>
              <w:t>Wynik (w zł)</w:t>
            </w:r>
          </w:p>
        </w:tc>
      </w:tr>
      <w:tr w:rsidR="003A056D" w:rsidRPr="0058008E" w14:paraId="7D49F9A8" w14:textId="77777777" w:rsidTr="00393429">
        <w:trPr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184E" w14:textId="77777777" w:rsidR="001B1A63" w:rsidRPr="0058008E" w:rsidRDefault="001B1A63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bieżące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5A4E" w14:textId="73D051F6" w:rsidR="001B1A63" w:rsidRPr="0058008E" w:rsidRDefault="008C6B35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495.52</w:t>
            </w:r>
            <w:r w:rsidR="00EC24B5">
              <w:rPr>
                <w:rFonts w:ascii="Times New Roman" w:hAnsi="Times New Roman"/>
                <w:b w:val="0"/>
                <w:i w:val="0"/>
                <w:sz w:val="24"/>
              </w:rPr>
              <w:t>2</w:t>
            </w: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.</w:t>
            </w:r>
            <w:r w:rsidR="00EC24B5">
              <w:rPr>
                <w:rFonts w:ascii="Times New Roman" w:hAnsi="Times New Roman"/>
                <w:b w:val="0"/>
                <w:i w:val="0"/>
                <w:sz w:val="24"/>
              </w:rPr>
              <w:t>782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2074" w14:textId="2437B075" w:rsidR="001B1A63" w:rsidRPr="0058008E" w:rsidRDefault="00E354B8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496.531.896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DF" w14:textId="49BCC498" w:rsidR="001B1A63" w:rsidRPr="0058008E" w:rsidRDefault="00F17E6B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  <w:r w:rsidR="001B1A63" w:rsidRPr="0058008E"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  <w:r w:rsidR="002E4510" w:rsidRPr="0058008E">
              <w:rPr>
                <w:rFonts w:ascii="Times New Roman" w:hAnsi="Times New Roman"/>
                <w:b w:val="0"/>
                <w:i w:val="0"/>
                <w:sz w:val="24"/>
              </w:rPr>
              <w:t>1.007.007</w:t>
            </w:r>
            <w:r w:rsidR="001B1A63" w:rsidRPr="0058008E"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</w:p>
        </w:tc>
      </w:tr>
      <w:tr w:rsidR="003A056D" w:rsidRPr="0058008E" w14:paraId="3E26B2F4" w14:textId="77777777" w:rsidTr="00393429">
        <w:trPr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A575" w14:textId="77777777" w:rsidR="001B1A63" w:rsidRPr="0058008E" w:rsidRDefault="001B1A63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majątkowe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440E" w14:textId="06A9D280" w:rsidR="001B1A63" w:rsidRPr="0058008E" w:rsidRDefault="008C6B35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42.348.147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C306" w14:textId="213356D2" w:rsidR="001B1A63" w:rsidRPr="0058008E" w:rsidRDefault="00E354B8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56.693.904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9345" w14:textId="45777B95" w:rsidR="001B1A63" w:rsidRPr="0058008E" w:rsidRDefault="001B1A63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  <w:r w:rsidRPr="0058008E">
              <w:rPr>
                <w:rFonts w:ascii="Times New Roman" w:hAnsi="Times New Roman"/>
                <w:b w:val="0"/>
                <w:bCs/>
                <w:i w:val="0"/>
                <w:sz w:val="24"/>
              </w:rPr>
              <w:t xml:space="preserve">- </w:t>
            </w:r>
            <w:r w:rsidR="002E4510" w:rsidRPr="0058008E">
              <w:rPr>
                <w:rFonts w:ascii="Times New Roman" w:hAnsi="Times New Roman"/>
                <w:b w:val="0"/>
                <w:bCs/>
                <w:i w:val="0"/>
                <w:sz w:val="24"/>
              </w:rPr>
              <w:t>14.345.757</w:t>
            </w:r>
          </w:p>
        </w:tc>
      </w:tr>
      <w:tr w:rsidR="00671279" w:rsidRPr="0058008E" w14:paraId="5B1903BD" w14:textId="77777777" w:rsidTr="00393429">
        <w:trPr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2244" w14:textId="77777777" w:rsidR="001B1A63" w:rsidRPr="0058008E" w:rsidRDefault="001B1A63">
            <w:pPr>
              <w:pStyle w:val="Tekstpodstawowy2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ogółem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6C8E" w14:textId="0DDBF8B7" w:rsidR="001B1A63" w:rsidRPr="0058008E" w:rsidRDefault="00E354B8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537.87</w:t>
            </w:r>
            <w:r w:rsidR="00EC24B5">
              <w:rPr>
                <w:rFonts w:ascii="Times New Roman" w:hAnsi="Times New Roman"/>
                <w:b w:val="0"/>
                <w:i w:val="0"/>
                <w:sz w:val="24"/>
              </w:rPr>
              <w:t>0</w:t>
            </w: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.</w:t>
            </w:r>
            <w:r w:rsidR="00EC24B5">
              <w:rPr>
                <w:rFonts w:ascii="Times New Roman" w:hAnsi="Times New Roman"/>
                <w:b w:val="0"/>
                <w:i w:val="0"/>
                <w:sz w:val="24"/>
              </w:rPr>
              <w:t>929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8C7A" w14:textId="78B28E96" w:rsidR="001B1A63" w:rsidRPr="0058008E" w:rsidRDefault="00D92A7F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>553.225.800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1F20" w14:textId="77F67361" w:rsidR="001B1A63" w:rsidRPr="0058008E" w:rsidRDefault="001B1A63">
            <w:pPr>
              <w:pStyle w:val="Tekstpodstawowy2"/>
              <w:jc w:val="right"/>
              <w:rPr>
                <w:rFonts w:ascii="Times New Roman" w:hAnsi="Times New Roman"/>
                <w:b w:val="0"/>
                <w:i w:val="0"/>
                <w:color w:val="EE0000"/>
                <w:sz w:val="24"/>
              </w:rPr>
            </w:pPr>
            <w:bookmarkStart w:id="15" w:name="_Hlk224650845"/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 xml:space="preserve">- </w:t>
            </w:r>
            <w:r w:rsidR="002E4510" w:rsidRPr="0058008E">
              <w:rPr>
                <w:rFonts w:ascii="Times New Roman" w:hAnsi="Times New Roman"/>
                <w:b w:val="0"/>
                <w:i w:val="0"/>
                <w:sz w:val="24"/>
              </w:rPr>
              <w:t>15.35</w:t>
            </w:r>
            <w:r w:rsidR="00EC24B5">
              <w:rPr>
                <w:rFonts w:ascii="Times New Roman" w:hAnsi="Times New Roman"/>
                <w:b w:val="0"/>
                <w:i w:val="0"/>
                <w:sz w:val="24"/>
              </w:rPr>
              <w:t>4</w:t>
            </w:r>
            <w:r w:rsidR="002E4510" w:rsidRPr="0058008E">
              <w:rPr>
                <w:rFonts w:ascii="Times New Roman" w:hAnsi="Times New Roman"/>
                <w:b w:val="0"/>
                <w:i w:val="0"/>
                <w:sz w:val="24"/>
              </w:rPr>
              <w:t>.</w:t>
            </w:r>
            <w:r w:rsidR="00EC24B5">
              <w:rPr>
                <w:rFonts w:ascii="Times New Roman" w:hAnsi="Times New Roman"/>
                <w:b w:val="0"/>
                <w:i w:val="0"/>
                <w:sz w:val="24"/>
              </w:rPr>
              <w:t>872</w:t>
            </w:r>
            <w:r w:rsidRPr="0058008E"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  <w:bookmarkEnd w:id="15"/>
          </w:p>
        </w:tc>
      </w:tr>
    </w:tbl>
    <w:p w14:paraId="69B13FE7" w14:textId="77777777" w:rsidR="001B1A63" w:rsidRPr="0058008E" w:rsidRDefault="001B1A63" w:rsidP="001B1A63">
      <w:pPr>
        <w:pStyle w:val="Tekstpodstawowy2"/>
        <w:jc w:val="both"/>
        <w:rPr>
          <w:rFonts w:ascii="Times New Roman" w:hAnsi="Times New Roman"/>
          <w:b w:val="0"/>
          <w:i w:val="0"/>
          <w:color w:val="EE0000"/>
          <w:sz w:val="24"/>
        </w:rPr>
      </w:pPr>
    </w:p>
    <w:p w14:paraId="4ED24028" w14:textId="3636C158" w:rsidR="00393429" w:rsidRPr="000B06A1" w:rsidRDefault="001B1A63" w:rsidP="001B1A63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Podsumowując realizację budżetu miasta w 202</w:t>
      </w:r>
      <w:r w:rsidR="00FD626D" w:rsidRPr="0058008E">
        <w:rPr>
          <w:rFonts w:ascii="Times New Roman" w:hAnsi="Times New Roman"/>
          <w:b w:val="0"/>
          <w:i w:val="0"/>
          <w:sz w:val="24"/>
        </w:rPr>
        <w:t>5</w:t>
      </w:r>
      <w:r w:rsidRPr="0058008E">
        <w:rPr>
          <w:rFonts w:ascii="Times New Roman" w:hAnsi="Times New Roman"/>
          <w:b w:val="0"/>
          <w:i w:val="0"/>
          <w:sz w:val="24"/>
        </w:rPr>
        <w:t xml:space="preserve"> r. na podstawie przeprowadzonej analizy </w:t>
      </w:r>
      <w:r w:rsidR="002334CC" w:rsidRPr="0058008E">
        <w:rPr>
          <w:rFonts w:ascii="Times New Roman" w:hAnsi="Times New Roman"/>
          <w:b w:val="0"/>
          <w:i w:val="0"/>
          <w:sz w:val="24"/>
        </w:rPr>
        <w:t xml:space="preserve">należy </w:t>
      </w:r>
      <w:r w:rsidRPr="0058008E">
        <w:rPr>
          <w:rFonts w:ascii="Times New Roman" w:hAnsi="Times New Roman"/>
          <w:b w:val="0"/>
          <w:i w:val="0"/>
          <w:sz w:val="24"/>
        </w:rPr>
        <w:t xml:space="preserve">stwierdzić, </w:t>
      </w:r>
      <w:r w:rsidR="002913D0" w:rsidRPr="0058008E">
        <w:rPr>
          <w:rFonts w:ascii="Times New Roman" w:hAnsi="Times New Roman"/>
          <w:b w:val="0"/>
          <w:i w:val="0"/>
          <w:sz w:val="24"/>
        </w:rPr>
        <w:t>kolejny raz</w:t>
      </w:r>
      <w:r w:rsidR="002334CC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852822" w:rsidRPr="0058008E">
        <w:rPr>
          <w:rFonts w:ascii="Times New Roman" w:hAnsi="Times New Roman"/>
          <w:b w:val="0"/>
          <w:i w:val="0"/>
          <w:sz w:val="24"/>
        </w:rPr>
        <w:t>na koniec roku wystąpił deficyt operacyjny</w:t>
      </w:r>
      <w:r w:rsidR="002913D0" w:rsidRPr="0058008E">
        <w:rPr>
          <w:rFonts w:ascii="Times New Roman" w:hAnsi="Times New Roman"/>
          <w:b w:val="0"/>
          <w:i w:val="0"/>
          <w:sz w:val="24"/>
        </w:rPr>
        <w:t>, choć w tym roku wyniósł on zaledwie 1 mln zł i był zdecydowanie mniejszy od zakładanego pierwotnie jak i od tego z roku poprzedniego ( -5,9 mln zł )</w:t>
      </w:r>
      <w:r w:rsidR="00852822" w:rsidRPr="0058008E">
        <w:rPr>
          <w:rFonts w:ascii="Times New Roman" w:hAnsi="Times New Roman"/>
          <w:b w:val="0"/>
          <w:i w:val="0"/>
          <w:sz w:val="24"/>
        </w:rPr>
        <w:t xml:space="preserve">. To </w:t>
      </w:r>
      <w:r w:rsidR="00393429" w:rsidRPr="0058008E">
        <w:rPr>
          <w:rFonts w:ascii="Times New Roman" w:hAnsi="Times New Roman"/>
          <w:b w:val="0"/>
          <w:i w:val="0"/>
          <w:sz w:val="24"/>
        </w:rPr>
        <w:t>jest dowód na to,</w:t>
      </w:r>
      <w:r w:rsidR="00852822" w:rsidRPr="0058008E">
        <w:rPr>
          <w:rFonts w:ascii="Times New Roman" w:hAnsi="Times New Roman"/>
          <w:b w:val="0"/>
          <w:i w:val="0"/>
          <w:sz w:val="24"/>
        </w:rPr>
        <w:t xml:space="preserve"> że </w:t>
      </w:r>
      <w:r w:rsidR="006C6C6D" w:rsidRPr="0058008E">
        <w:rPr>
          <w:rFonts w:ascii="Times New Roman" w:hAnsi="Times New Roman"/>
          <w:b w:val="0"/>
          <w:i w:val="0"/>
          <w:sz w:val="24"/>
        </w:rPr>
        <w:t>sytuacj</w:t>
      </w:r>
      <w:r w:rsidR="00852822" w:rsidRPr="0058008E">
        <w:rPr>
          <w:rFonts w:ascii="Times New Roman" w:hAnsi="Times New Roman"/>
          <w:b w:val="0"/>
          <w:i w:val="0"/>
          <w:sz w:val="24"/>
        </w:rPr>
        <w:t xml:space="preserve">a finansowa </w:t>
      </w:r>
      <w:r w:rsidR="006C6C6D" w:rsidRPr="0058008E">
        <w:rPr>
          <w:rFonts w:ascii="Times New Roman" w:hAnsi="Times New Roman"/>
          <w:b w:val="0"/>
          <w:i w:val="0"/>
          <w:sz w:val="24"/>
        </w:rPr>
        <w:t xml:space="preserve">miasta </w:t>
      </w:r>
      <w:r w:rsidR="002913D0" w:rsidRPr="0058008E">
        <w:rPr>
          <w:rFonts w:ascii="Times New Roman" w:hAnsi="Times New Roman"/>
          <w:b w:val="0"/>
          <w:i w:val="0"/>
          <w:sz w:val="24"/>
        </w:rPr>
        <w:t xml:space="preserve">nadal </w:t>
      </w:r>
      <w:r w:rsidR="006B54C0" w:rsidRPr="0058008E">
        <w:rPr>
          <w:rFonts w:ascii="Times New Roman" w:hAnsi="Times New Roman"/>
          <w:b w:val="0"/>
          <w:i w:val="0"/>
          <w:sz w:val="24"/>
        </w:rPr>
        <w:t>nie należała do łatwych</w:t>
      </w:r>
      <w:r w:rsidR="00852822" w:rsidRPr="0058008E">
        <w:rPr>
          <w:rFonts w:ascii="Times New Roman" w:hAnsi="Times New Roman"/>
          <w:b w:val="0"/>
          <w:i w:val="0"/>
          <w:sz w:val="24"/>
        </w:rPr>
        <w:t xml:space="preserve">. </w:t>
      </w:r>
      <w:r w:rsidR="00852822" w:rsidRPr="000B06A1">
        <w:rPr>
          <w:rFonts w:ascii="Times New Roman" w:hAnsi="Times New Roman"/>
          <w:b w:val="0"/>
          <w:i w:val="0"/>
          <w:sz w:val="24"/>
        </w:rPr>
        <w:t xml:space="preserve">Dochody bieżące rok/roku wzrosły o </w:t>
      </w:r>
      <w:r w:rsidR="000B06A1" w:rsidRPr="000B06A1">
        <w:rPr>
          <w:rFonts w:ascii="Times New Roman" w:hAnsi="Times New Roman"/>
          <w:b w:val="0"/>
          <w:i w:val="0"/>
          <w:sz w:val="24"/>
        </w:rPr>
        <w:t>5,76</w:t>
      </w:r>
      <w:r w:rsidR="00C23F5A" w:rsidRPr="000B06A1">
        <w:rPr>
          <w:rFonts w:ascii="Times New Roman" w:hAnsi="Times New Roman"/>
          <w:b w:val="0"/>
          <w:i w:val="0"/>
          <w:sz w:val="24"/>
        </w:rPr>
        <w:t xml:space="preserve"> %</w:t>
      </w:r>
      <w:r w:rsidR="00326E36" w:rsidRPr="000B06A1">
        <w:rPr>
          <w:rFonts w:ascii="Times New Roman" w:hAnsi="Times New Roman"/>
          <w:b w:val="0"/>
          <w:i w:val="0"/>
          <w:sz w:val="24"/>
        </w:rPr>
        <w:t xml:space="preserve"> tj. o </w:t>
      </w:r>
      <w:r w:rsidR="000B06A1" w:rsidRPr="000B06A1">
        <w:rPr>
          <w:rFonts w:ascii="Times New Roman" w:hAnsi="Times New Roman"/>
          <w:b w:val="0"/>
          <w:i w:val="0"/>
          <w:sz w:val="24"/>
        </w:rPr>
        <w:t>27</w:t>
      </w:r>
      <w:r w:rsidR="00326E36" w:rsidRPr="000B06A1">
        <w:rPr>
          <w:rFonts w:ascii="Times New Roman" w:hAnsi="Times New Roman"/>
          <w:b w:val="0"/>
          <w:i w:val="0"/>
          <w:sz w:val="24"/>
        </w:rPr>
        <w:t xml:space="preserve"> mln zł</w:t>
      </w:r>
      <w:r w:rsidR="00852822" w:rsidRPr="000B06A1">
        <w:rPr>
          <w:rFonts w:ascii="Times New Roman" w:hAnsi="Times New Roman"/>
          <w:b w:val="0"/>
          <w:i w:val="0"/>
          <w:sz w:val="24"/>
        </w:rPr>
        <w:t xml:space="preserve">, natomiast wydatki </w:t>
      </w:r>
      <w:r w:rsidR="00393429" w:rsidRPr="000B06A1">
        <w:rPr>
          <w:rFonts w:ascii="Times New Roman" w:hAnsi="Times New Roman"/>
          <w:b w:val="0"/>
          <w:i w:val="0"/>
          <w:sz w:val="24"/>
        </w:rPr>
        <w:t xml:space="preserve">bieżące </w:t>
      </w:r>
      <w:r w:rsidR="00852822" w:rsidRPr="000B06A1">
        <w:rPr>
          <w:rFonts w:ascii="Times New Roman" w:hAnsi="Times New Roman"/>
          <w:b w:val="0"/>
          <w:i w:val="0"/>
          <w:sz w:val="24"/>
        </w:rPr>
        <w:t>w</w:t>
      </w:r>
      <w:r w:rsidR="00393429" w:rsidRPr="000B06A1">
        <w:rPr>
          <w:rFonts w:ascii="Times New Roman" w:hAnsi="Times New Roman"/>
          <w:b w:val="0"/>
          <w:i w:val="0"/>
          <w:sz w:val="24"/>
        </w:rPr>
        <w:t>zrosły</w:t>
      </w:r>
      <w:r w:rsidR="00852822" w:rsidRPr="000B06A1">
        <w:rPr>
          <w:rFonts w:ascii="Times New Roman" w:hAnsi="Times New Roman"/>
          <w:b w:val="0"/>
          <w:i w:val="0"/>
          <w:sz w:val="24"/>
        </w:rPr>
        <w:t xml:space="preserve"> </w:t>
      </w:r>
      <w:r w:rsidR="00393429" w:rsidRPr="000B06A1">
        <w:rPr>
          <w:rFonts w:ascii="Times New Roman" w:hAnsi="Times New Roman"/>
          <w:b w:val="0"/>
          <w:i w:val="0"/>
          <w:sz w:val="24"/>
        </w:rPr>
        <w:t xml:space="preserve">o </w:t>
      </w:r>
      <w:r w:rsidR="000B06A1" w:rsidRPr="000B06A1">
        <w:rPr>
          <w:rFonts w:ascii="Times New Roman" w:hAnsi="Times New Roman"/>
          <w:b w:val="0"/>
          <w:i w:val="0"/>
          <w:sz w:val="24"/>
        </w:rPr>
        <w:t>4,65</w:t>
      </w:r>
      <w:r w:rsidR="00393429" w:rsidRPr="000B06A1">
        <w:rPr>
          <w:rFonts w:ascii="Times New Roman" w:hAnsi="Times New Roman"/>
          <w:b w:val="0"/>
          <w:i w:val="0"/>
          <w:sz w:val="24"/>
        </w:rPr>
        <w:t xml:space="preserve">% tj. o kwotę </w:t>
      </w:r>
      <w:r w:rsidR="000B06A1" w:rsidRPr="000B06A1">
        <w:rPr>
          <w:rFonts w:ascii="Times New Roman" w:hAnsi="Times New Roman"/>
          <w:b w:val="0"/>
          <w:i w:val="0"/>
          <w:sz w:val="24"/>
        </w:rPr>
        <w:t>22,1</w:t>
      </w:r>
      <w:r w:rsidR="00393429" w:rsidRPr="000B06A1">
        <w:rPr>
          <w:rFonts w:ascii="Times New Roman" w:hAnsi="Times New Roman"/>
          <w:b w:val="0"/>
          <w:i w:val="0"/>
          <w:sz w:val="24"/>
        </w:rPr>
        <w:t xml:space="preserve"> mln zł.</w:t>
      </w:r>
    </w:p>
    <w:p w14:paraId="6024319F" w14:textId="3464254E" w:rsidR="001B1A63" w:rsidRPr="0058008E" w:rsidRDefault="001B1A63" w:rsidP="001B1A63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  <w:szCs w:val="24"/>
        </w:rPr>
        <w:t>Zrealizowane zostały wszystkie ustawowo nałożone na gminę zadania bieżące, zarówno własne jak i zlecone</w:t>
      </w:r>
      <w:r w:rsidR="00D005C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mimo tej trudnej sytuacji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>. Kontynuowan</w:t>
      </w:r>
      <w:r w:rsidR="00FD626D" w:rsidRPr="0058008E">
        <w:rPr>
          <w:rFonts w:ascii="Times New Roman" w:hAnsi="Times New Roman"/>
          <w:b w:val="0"/>
          <w:i w:val="0"/>
          <w:sz w:val="24"/>
          <w:szCs w:val="24"/>
        </w:rPr>
        <w:t>o działania ukierunkowane na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rozwój miasta jako miejsca uzdrowiskowe</w:t>
      </w:r>
      <w:r w:rsidR="00393429" w:rsidRPr="0058008E">
        <w:rPr>
          <w:rFonts w:ascii="Times New Roman" w:hAnsi="Times New Roman"/>
          <w:b w:val="0"/>
          <w:i w:val="0"/>
          <w:sz w:val="24"/>
          <w:szCs w:val="24"/>
        </w:rPr>
        <w:t>go</w:t>
      </w:r>
      <w:r w:rsidR="008070F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 i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turystyczne</w:t>
      </w:r>
      <w:r w:rsidR="00393429" w:rsidRPr="0058008E">
        <w:rPr>
          <w:rFonts w:ascii="Times New Roman" w:hAnsi="Times New Roman"/>
          <w:b w:val="0"/>
          <w:i w:val="0"/>
          <w:sz w:val="24"/>
          <w:szCs w:val="24"/>
        </w:rPr>
        <w:t>go</w:t>
      </w:r>
      <w:r w:rsidR="008070F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. Kładziono także </w:t>
      </w:r>
      <w:r w:rsidR="00D005C2" w:rsidRPr="0058008E">
        <w:rPr>
          <w:rFonts w:ascii="Times New Roman" w:hAnsi="Times New Roman"/>
          <w:b w:val="0"/>
          <w:i w:val="0"/>
          <w:sz w:val="24"/>
          <w:szCs w:val="24"/>
        </w:rPr>
        <w:t xml:space="preserve">nieprzerwanie </w:t>
      </w:r>
      <w:r w:rsidR="008070F8" w:rsidRPr="0058008E">
        <w:rPr>
          <w:rFonts w:ascii="Times New Roman" w:hAnsi="Times New Roman"/>
          <w:b w:val="0"/>
          <w:i w:val="0"/>
          <w:sz w:val="24"/>
          <w:szCs w:val="24"/>
        </w:rPr>
        <w:t>duży nacisk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070F8" w:rsidRPr="0058008E">
        <w:rPr>
          <w:rFonts w:ascii="Times New Roman" w:hAnsi="Times New Roman"/>
          <w:b w:val="0"/>
          <w:i w:val="0"/>
          <w:sz w:val="24"/>
          <w:szCs w:val="24"/>
        </w:rPr>
        <w:t>na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sfer</w:t>
      </w:r>
      <w:r w:rsidR="008070F8" w:rsidRPr="0058008E">
        <w:rPr>
          <w:rFonts w:ascii="Times New Roman" w:hAnsi="Times New Roman"/>
          <w:b w:val="0"/>
          <w:i w:val="0"/>
          <w:sz w:val="24"/>
          <w:szCs w:val="24"/>
        </w:rPr>
        <w:t>ę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społeczn</w:t>
      </w:r>
      <w:r w:rsidR="008070F8" w:rsidRPr="0058008E">
        <w:rPr>
          <w:rFonts w:ascii="Times New Roman" w:hAnsi="Times New Roman"/>
          <w:b w:val="0"/>
          <w:i w:val="0"/>
          <w:sz w:val="24"/>
          <w:szCs w:val="24"/>
        </w:rPr>
        <w:t>ą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 poprzez </w:t>
      </w:r>
      <w:r w:rsidR="008070F8" w:rsidRPr="0058008E">
        <w:rPr>
          <w:rFonts w:ascii="Times New Roman" w:hAnsi="Times New Roman"/>
          <w:b w:val="0"/>
          <w:i w:val="0"/>
          <w:sz w:val="24"/>
          <w:szCs w:val="24"/>
        </w:rPr>
        <w:t xml:space="preserve">cały </w:t>
      </w:r>
      <w:r w:rsidRPr="0058008E">
        <w:rPr>
          <w:rFonts w:ascii="Times New Roman" w:hAnsi="Times New Roman"/>
          <w:b w:val="0"/>
          <w:i w:val="0"/>
          <w:sz w:val="24"/>
          <w:szCs w:val="24"/>
        </w:rPr>
        <w:t xml:space="preserve">szereg działań z zakresu pomocy społecznej i edukacji. </w:t>
      </w:r>
    </w:p>
    <w:p w14:paraId="6790835E" w14:textId="1D859936" w:rsidR="001B1A63" w:rsidRPr="0058008E" w:rsidRDefault="001B1A63" w:rsidP="008070F8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Miniony rok był rokiem trudnym </w:t>
      </w:r>
      <w:r w:rsidR="00FD626D" w:rsidRPr="0058008E">
        <w:rPr>
          <w:rFonts w:ascii="Times New Roman" w:hAnsi="Times New Roman"/>
          <w:b w:val="0"/>
          <w:i w:val="0"/>
          <w:sz w:val="24"/>
        </w:rPr>
        <w:t xml:space="preserve">pod względem </w:t>
      </w:r>
      <w:r w:rsidR="00150327" w:rsidRPr="0058008E">
        <w:rPr>
          <w:rFonts w:ascii="Times New Roman" w:hAnsi="Times New Roman"/>
          <w:b w:val="0"/>
          <w:i w:val="0"/>
          <w:sz w:val="24"/>
        </w:rPr>
        <w:t>finansow</w:t>
      </w:r>
      <w:r w:rsidR="00FD626D" w:rsidRPr="0058008E">
        <w:rPr>
          <w:rFonts w:ascii="Times New Roman" w:hAnsi="Times New Roman"/>
          <w:b w:val="0"/>
          <w:i w:val="0"/>
          <w:sz w:val="24"/>
        </w:rPr>
        <w:t>ym</w:t>
      </w:r>
      <w:r w:rsidR="008070F8" w:rsidRPr="0058008E">
        <w:rPr>
          <w:rFonts w:ascii="Times New Roman" w:hAnsi="Times New Roman"/>
          <w:b w:val="0"/>
          <w:i w:val="0"/>
          <w:sz w:val="24"/>
        </w:rPr>
        <w:t>,</w:t>
      </w:r>
      <w:r w:rsidR="008760EB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D765A">
        <w:rPr>
          <w:rFonts w:ascii="Times New Roman" w:hAnsi="Times New Roman"/>
          <w:b w:val="0"/>
          <w:i w:val="0"/>
          <w:sz w:val="24"/>
        </w:rPr>
        <w:t xml:space="preserve">było to efektem </w:t>
      </w:r>
      <w:r w:rsidR="008070F8" w:rsidRPr="0058008E">
        <w:rPr>
          <w:rFonts w:ascii="Times New Roman" w:hAnsi="Times New Roman"/>
          <w:b w:val="0"/>
          <w:i w:val="0"/>
          <w:sz w:val="24"/>
        </w:rPr>
        <w:t>utrzymując</w:t>
      </w:r>
      <w:r w:rsidR="006D765A">
        <w:rPr>
          <w:rFonts w:ascii="Times New Roman" w:hAnsi="Times New Roman"/>
          <w:b w:val="0"/>
          <w:i w:val="0"/>
          <w:sz w:val="24"/>
        </w:rPr>
        <w:t>ej</w:t>
      </w:r>
      <w:r w:rsidR="008070F8" w:rsidRPr="0058008E">
        <w:rPr>
          <w:rFonts w:ascii="Times New Roman" w:hAnsi="Times New Roman"/>
          <w:b w:val="0"/>
          <w:i w:val="0"/>
          <w:sz w:val="24"/>
        </w:rPr>
        <w:t xml:space="preserve"> się </w:t>
      </w:r>
      <w:r w:rsidR="006B54C0" w:rsidRPr="0058008E">
        <w:rPr>
          <w:rFonts w:ascii="Times New Roman" w:hAnsi="Times New Roman"/>
          <w:b w:val="0"/>
          <w:i w:val="0"/>
          <w:sz w:val="24"/>
        </w:rPr>
        <w:t xml:space="preserve">na podwyższonym </w:t>
      </w:r>
      <w:r w:rsidR="008070F8" w:rsidRPr="0058008E">
        <w:rPr>
          <w:rFonts w:ascii="Times New Roman" w:hAnsi="Times New Roman"/>
          <w:b w:val="0"/>
          <w:i w:val="0"/>
          <w:sz w:val="24"/>
        </w:rPr>
        <w:t xml:space="preserve">poziomie inflacja ( </w:t>
      </w:r>
      <w:r w:rsidR="00150327" w:rsidRPr="0058008E">
        <w:rPr>
          <w:rFonts w:ascii="Times New Roman" w:hAnsi="Times New Roman"/>
          <w:b w:val="0"/>
          <w:i w:val="0"/>
          <w:sz w:val="24"/>
        </w:rPr>
        <w:t>3,6</w:t>
      </w:r>
      <w:r w:rsidR="008070F8" w:rsidRPr="0058008E">
        <w:rPr>
          <w:rFonts w:ascii="Times New Roman" w:hAnsi="Times New Roman"/>
          <w:b w:val="0"/>
          <w:i w:val="0"/>
          <w:sz w:val="24"/>
        </w:rPr>
        <w:t>% )</w:t>
      </w:r>
      <w:r w:rsidR="006D765A">
        <w:rPr>
          <w:rFonts w:ascii="Times New Roman" w:hAnsi="Times New Roman"/>
          <w:b w:val="0"/>
          <w:i w:val="0"/>
          <w:sz w:val="24"/>
        </w:rPr>
        <w:t>,</w:t>
      </w:r>
      <w:r w:rsidR="008070F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D765A">
        <w:rPr>
          <w:rFonts w:ascii="Times New Roman" w:hAnsi="Times New Roman"/>
          <w:b w:val="0"/>
          <w:i w:val="0"/>
          <w:sz w:val="24"/>
        </w:rPr>
        <w:t xml:space="preserve">która </w:t>
      </w:r>
      <w:r w:rsidR="008070F8" w:rsidRPr="0058008E">
        <w:rPr>
          <w:rFonts w:ascii="Times New Roman" w:hAnsi="Times New Roman"/>
          <w:b w:val="0"/>
          <w:i w:val="0"/>
          <w:sz w:val="24"/>
        </w:rPr>
        <w:t>powodowała wzrost kosztów funkcjonowania miasta</w:t>
      </w:r>
      <w:r w:rsidR="006D765A">
        <w:rPr>
          <w:rFonts w:ascii="Times New Roman" w:hAnsi="Times New Roman"/>
          <w:b w:val="0"/>
          <w:i w:val="0"/>
          <w:sz w:val="24"/>
        </w:rPr>
        <w:t>.</w:t>
      </w:r>
      <w:r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D765A">
        <w:rPr>
          <w:rFonts w:ascii="Times New Roman" w:hAnsi="Times New Roman"/>
          <w:b w:val="0"/>
          <w:i w:val="0"/>
          <w:sz w:val="24"/>
        </w:rPr>
        <w:t>W</w:t>
      </w:r>
      <w:r w:rsidR="008760EB" w:rsidRPr="0058008E">
        <w:rPr>
          <w:rFonts w:ascii="Times New Roman" w:hAnsi="Times New Roman"/>
          <w:b w:val="0"/>
          <w:i w:val="0"/>
          <w:sz w:val="24"/>
        </w:rPr>
        <w:t>ysoka dynamika cen wynikała m.in. z odmrożenia cen energii</w:t>
      </w:r>
      <w:r w:rsidRPr="0058008E">
        <w:rPr>
          <w:rFonts w:ascii="Times New Roman" w:hAnsi="Times New Roman"/>
          <w:b w:val="0"/>
          <w:i w:val="0"/>
          <w:sz w:val="24"/>
        </w:rPr>
        <w:t>,</w:t>
      </w:r>
      <w:r w:rsidR="006B54C0" w:rsidRPr="0058008E">
        <w:rPr>
          <w:rFonts w:ascii="Times New Roman" w:hAnsi="Times New Roman"/>
          <w:b w:val="0"/>
          <w:i w:val="0"/>
          <w:sz w:val="24"/>
        </w:rPr>
        <w:t xml:space="preserve"> wymagająca była również </w:t>
      </w:r>
      <w:r w:rsidRPr="0058008E">
        <w:rPr>
          <w:rFonts w:ascii="Times New Roman" w:hAnsi="Times New Roman"/>
          <w:b w:val="0"/>
          <w:i w:val="0"/>
          <w:sz w:val="24"/>
        </w:rPr>
        <w:t xml:space="preserve"> sytuacja na rynku pracy ( wzrost płacy minimalnej, presja płacowa pracowników)</w:t>
      </w:r>
      <w:r w:rsidR="008760EB" w:rsidRPr="0058008E">
        <w:rPr>
          <w:rFonts w:ascii="Times New Roman" w:hAnsi="Times New Roman"/>
          <w:b w:val="0"/>
          <w:i w:val="0"/>
          <w:sz w:val="24"/>
        </w:rPr>
        <w:t xml:space="preserve">. </w:t>
      </w:r>
    </w:p>
    <w:p w14:paraId="12B19AB5" w14:textId="525F5F38" w:rsidR="008760EB" w:rsidRPr="0058008E" w:rsidRDefault="001B1A63" w:rsidP="001B1A63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>W naszym mieście ta sytuacja spowodowała, że rok budżetowy zamknął się deficytem budżetowym</w:t>
      </w:r>
      <w:r w:rsidR="006D765A">
        <w:rPr>
          <w:rFonts w:ascii="Times New Roman" w:hAnsi="Times New Roman"/>
          <w:b w:val="0"/>
          <w:i w:val="0"/>
          <w:sz w:val="24"/>
        </w:rPr>
        <w:t>. P</w:t>
      </w:r>
      <w:r w:rsidR="006D765A" w:rsidRPr="0058008E">
        <w:rPr>
          <w:rFonts w:ascii="Times New Roman" w:hAnsi="Times New Roman"/>
          <w:b w:val="0"/>
          <w:i w:val="0"/>
          <w:sz w:val="24"/>
        </w:rPr>
        <w:t>oprzez działania oszczędnościowe</w:t>
      </w:r>
      <w:r w:rsidR="006D765A">
        <w:rPr>
          <w:rFonts w:ascii="Times New Roman" w:hAnsi="Times New Roman"/>
          <w:b w:val="0"/>
          <w:i w:val="0"/>
          <w:sz w:val="24"/>
        </w:rPr>
        <w:t xml:space="preserve"> </w:t>
      </w:r>
      <w:r w:rsidR="006D765A" w:rsidRPr="0058008E">
        <w:rPr>
          <w:rFonts w:ascii="Times New Roman" w:hAnsi="Times New Roman"/>
          <w:b w:val="0"/>
          <w:i w:val="0"/>
          <w:sz w:val="24"/>
        </w:rPr>
        <w:t xml:space="preserve">udało się </w:t>
      </w:r>
      <w:r w:rsidR="006D765A">
        <w:rPr>
          <w:rFonts w:ascii="Times New Roman" w:hAnsi="Times New Roman"/>
          <w:b w:val="0"/>
          <w:i w:val="0"/>
          <w:sz w:val="24"/>
        </w:rPr>
        <w:t xml:space="preserve">go </w:t>
      </w:r>
      <w:r w:rsidR="006D765A" w:rsidRPr="0058008E">
        <w:rPr>
          <w:rFonts w:ascii="Times New Roman" w:hAnsi="Times New Roman"/>
          <w:b w:val="0"/>
          <w:i w:val="0"/>
          <w:sz w:val="24"/>
        </w:rPr>
        <w:t xml:space="preserve">obniżyć </w:t>
      </w:r>
      <w:r w:rsidR="006D765A">
        <w:rPr>
          <w:rFonts w:ascii="Times New Roman" w:hAnsi="Times New Roman"/>
          <w:b w:val="0"/>
          <w:i w:val="0"/>
          <w:sz w:val="24"/>
        </w:rPr>
        <w:t xml:space="preserve">z </w:t>
      </w:r>
      <w:r w:rsidR="006D765A" w:rsidRPr="0058008E">
        <w:rPr>
          <w:rFonts w:ascii="Times New Roman" w:hAnsi="Times New Roman"/>
          <w:b w:val="0"/>
          <w:i w:val="0"/>
          <w:sz w:val="24"/>
        </w:rPr>
        <w:t>planowan</w:t>
      </w:r>
      <w:r w:rsidR="006D765A">
        <w:rPr>
          <w:rFonts w:ascii="Times New Roman" w:hAnsi="Times New Roman"/>
          <w:b w:val="0"/>
          <w:i w:val="0"/>
          <w:sz w:val="24"/>
        </w:rPr>
        <w:t>ych -</w:t>
      </w:r>
      <w:r w:rsidR="006D765A" w:rsidRPr="0058008E">
        <w:rPr>
          <w:rFonts w:ascii="Times New Roman" w:hAnsi="Times New Roman"/>
          <w:b w:val="0"/>
          <w:i w:val="0"/>
          <w:sz w:val="24"/>
        </w:rPr>
        <w:t xml:space="preserve">56,8 mln zł do </w:t>
      </w:r>
      <w:r w:rsidR="006D765A">
        <w:rPr>
          <w:rFonts w:ascii="Times New Roman" w:hAnsi="Times New Roman"/>
          <w:b w:val="0"/>
          <w:i w:val="0"/>
          <w:sz w:val="24"/>
        </w:rPr>
        <w:t>-</w:t>
      </w:r>
      <w:r w:rsidR="006D765A" w:rsidRPr="0058008E">
        <w:rPr>
          <w:rFonts w:ascii="Times New Roman" w:hAnsi="Times New Roman"/>
          <w:b w:val="0"/>
          <w:i w:val="0"/>
          <w:sz w:val="24"/>
        </w:rPr>
        <w:t>15,3 mln</w:t>
      </w:r>
      <w:r w:rsidR="006D765A">
        <w:rPr>
          <w:rFonts w:ascii="Times New Roman" w:hAnsi="Times New Roman"/>
          <w:b w:val="0"/>
          <w:i w:val="0"/>
          <w:sz w:val="24"/>
        </w:rPr>
        <w:t xml:space="preserve"> </w:t>
      </w:r>
      <w:r w:rsidR="006D765A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D765A">
        <w:rPr>
          <w:rFonts w:ascii="Times New Roman" w:hAnsi="Times New Roman"/>
          <w:b w:val="0"/>
          <w:i w:val="0"/>
          <w:sz w:val="24"/>
        </w:rPr>
        <w:t>z</w:t>
      </w:r>
      <w:r w:rsidR="006D765A" w:rsidRPr="0058008E">
        <w:rPr>
          <w:rFonts w:ascii="Times New Roman" w:hAnsi="Times New Roman"/>
          <w:b w:val="0"/>
          <w:i w:val="0"/>
          <w:sz w:val="24"/>
        </w:rPr>
        <w:t>ł</w:t>
      </w:r>
      <w:r w:rsidR="008070F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6D765A">
        <w:rPr>
          <w:rFonts w:ascii="Times New Roman" w:hAnsi="Times New Roman"/>
          <w:b w:val="0"/>
          <w:i w:val="0"/>
          <w:sz w:val="24"/>
        </w:rPr>
        <w:t xml:space="preserve">a na jego pokrycie </w:t>
      </w:r>
      <w:r w:rsidR="008760EB" w:rsidRPr="0058008E">
        <w:rPr>
          <w:rFonts w:ascii="Times New Roman" w:hAnsi="Times New Roman"/>
          <w:b w:val="0"/>
          <w:i w:val="0"/>
          <w:sz w:val="24"/>
        </w:rPr>
        <w:t>zaciągnię</w:t>
      </w:r>
      <w:r w:rsidR="006D765A">
        <w:rPr>
          <w:rFonts w:ascii="Times New Roman" w:hAnsi="Times New Roman"/>
          <w:b w:val="0"/>
          <w:i w:val="0"/>
          <w:sz w:val="24"/>
        </w:rPr>
        <w:t>to</w:t>
      </w:r>
      <w:r w:rsidR="008760EB" w:rsidRPr="0058008E">
        <w:rPr>
          <w:rFonts w:ascii="Times New Roman" w:hAnsi="Times New Roman"/>
          <w:b w:val="0"/>
          <w:i w:val="0"/>
          <w:sz w:val="24"/>
        </w:rPr>
        <w:t xml:space="preserve"> niewielk</w:t>
      </w:r>
      <w:r w:rsidR="006D765A">
        <w:rPr>
          <w:rFonts w:ascii="Times New Roman" w:hAnsi="Times New Roman"/>
          <w:b w:val="0"/>
          <w:i w:val="0"/>
          <w:sz w:val="24"/>
        </w:rPr>
        <w:t>ą</w:t>
      </w:r>
      <w:r w:rsidR="008760EB" w:rsidRPr="0058008E">
        <w:rPr>
          <w:rFonts w:ascii="Times New Roman" w:hAnsi="Times New Roman"/>
          <w:b w:val="0"/>
          <w:i w:val="0"/>
          <w:sz w:val="24"/>
        </w:rPr>
        <w:t xml:space="preserve"> pożyczk</w:t>
      </w:r>
      <w:r w:rsidR="006D765A">
        <w:rPr>
          <w:rFonts w:ascii="Times New Roman" w:hAnsi="Times New Roman"/>
          <w:b w:val="0"/>
          <w:i w:val="0"/>
          <w:sz w:val="24"/>
        </w:rPr>
        <w:t>ę</w:t>
      </w:r>
      <w:r w:rsidR="008070F8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2E4A45" w:rsidRPr="0058008E">
        <w:rPr>
          <w:rFonts w:ascii="Times New Roman" w:hAnsi="Times New Roman"/>
          <w:b w:val="0"/>
          <w:i w:val="0"/>
          <w:sz w:val="24"/>
        </w:rPr>
        <w:t>(10,0 mln zł)</w:t>
      </w:r>
      <w:r w:rsidR="006D765A">
        <w:rPr>
          <w:rFonts w:ascii="Times New Roman" w:hAnsi="Times New Roman"/>
          <w:b w:val="0"/>
          <w:i w:val="0"/>
          <w:sz w:val="24"/>
        </w:rPr>
        <w:t>.</w:t>
      </w:r>
      <w:r w:rsidR="008760EB" w:rsidRPr="0058008E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2E0C887D" w14:textId="4A99BB7D" w:rsidR="001B1A63" w:rsidRPr="0058008E" w:rsidRDefault="008070F8" w:rsidP="001B1A63">
      <w:pPr>
        <w:pStyle w:val="Tekstpodstawowy2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 P</w:t>
      </w:r>
      <w:r w:rsidR="001B1A63" w:rsidRPr="0058008E">
        <w:rPr>
          <w:rFonts w:ascii="Times New Roman" w:hAnsi="Times New Roman"/>
          <w:b w:val="0"/>
          <w:i w:val="0"/>
          <w:sz w:val="24"/>
        </w:rPr>
        <w:t>osiada</w:t>
      </w:r>
      <w:r w:rsidRPr="0058008E">
        <w:rPr>
          <w:rFonts w:ascii="Times New Roman" w:hAnsi="Times New Roman"/>
          <w:b w:val="0"/>
          <w:i w:val="0"/>
          <w:sz w:val="24"/>
        </w:rPr>
        <w:t>liśmy</w:t>
      </w:r>
      <w:r w:rsidR="001B1A63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Fonts w:ascii="Times New Roman" w:hAnsi="Times New Roman"/>
          <w:b w:val="0"/>
          <w:i w:val="0"/>
          <w:sz w:val="24"/>
        </w:rPr>
        <w:t xml:space="preserve">także </w:t>
      </w:r>
      <w:r w:rsidR="001B1A63" w:rsidRPr="0058008E">
        <w:rPr>
          <w:rFonts w:ascii="Times New Roman" w:hAnsi="Times New Roman"/>
          <w:b w:val="0"/>
          <w:i w:val="0"/>
          <w:sz w:val="24"/>
        </w:rPr>
        <w:t>przychod</w:t>
      </w:r>
      <w:r w:rsidRPr="0058008E">
        <w:rPr>
          <w:rFonts w:ascii="Times New Roman" w:hAnsi="Times New Roman"/>
          <w:b w:val="0"/>
          <w:i w:val="0"/>
          <w:sz w:val="24"/>
        </w:rPr>
        <w:t>y</w:t>
      </w:r>
      <w:r w:rsidR="001B1A63" w:rsidRPr="0058008E">
        <w:rPr>
          <w:rFonts w:ascii="Times New Roman" w:hAnsi="Times New Roman"/>
          <w:b w:val="0"/>
          <w:i w:val="0"/>
          <w:sz w:val="24"/>
        </w:rPr>
        <w:t xml:space="preserve"> w postaci wolnych środków z lat poprzednich </w:t>
      </w:r>
      <w:r w:rsidR="002913D0" w:rsidRPr="0058008E">
        <w:rPr>
          <w:rFonts w:ascii="Times New Roman" w:hAnsi="Times New Roman"/>
          <w:b w:val="0"/>
          <w:i w:val="0"/>
          <w:sz w:val="24"/>
        </w:rPr>
        <w:t xml:space="preserve">11,9 mln zł, </w:t>
      </w:r>
      <w:r w:rsidRPr="0058008E">
        <w:rPr>
          <w:rFonts w:ascii="Times New Roman" w:hAnsi="Times New Roman"/>
          <w:b w:val="0"/>
          <w:i w:val="0"/>
          <w:sz w:val="24"/>
        </w:rPr>
        <w:t xml:space="preserve">co </w:t>
      </w:r>
      <w:r w:rsidR="00150327" w:rsidRPr="0058008E">
        <w:rPr>
          <w:rFonts w:ascii="Times New Roman" w:hAnsi="Times New Roman"/>
          <w:b w:val="0"/>
          <w:i w:val="0"/>
          <w:sz w:val="24"/>
        </w:rPr>
        <w:t xml:space="preserve">pozwoliło na utrzymanie na </w:t>
      </w:r>
      <w:r w:rsidR="001B1A63" w:rsidRPr="0058008E">
        <w:rPr>
          <w:rFonts w:ascii="Times New Roman" w:hAnsi="Times New Roman"/>
          <w:b w:val="0"/>
          <w:i w:val="0"/>
          <w:sz w:val="24"/>
        </w:rPr>
        <w:t>stabiln</w:t>
      </w:r>
      <w:r w:rsidR="00150327" w:rsidRPr="0058008E">
        <w:rPr>
          <w:rFonts w:ascii="Times New Roman" w:hAnsi="Times New Roman"/>
          <w:b w:val="0"/>
          <w:i w:val="0"/>
          <w:sz w:val="24"/>
        </w:rPr>
        <w:t>ym</w:t>
      </w:r>
      <w:r w:rsidR="001B1A63" w:rsidRPr="0058008E">
        <w:rPr>
          <w:rFonts w:ascii="Times New Roman" w:hAnsi="Times New Roman"/>
          <w:b w:val="0"/>
          <w:i w:val="0"/>
          <w:sz w:val="24"/>
        </w:rPr>
        <w:t xml:space="preserve"> </w:t>
      </w:r>
      <w:r w:rsidR="00150327" w:rsidRPr="0058008E">
        <w:rPr>
          <w:rFonts w:ascii="Times New Roman" w:hAnsi="Times New Roman"/>
          <w:b w:val="0"/>
          <w:i w:val="0"/>
          <w:sz w:val="24"/>
        </w:rPr>
        <w:t>poziomie finansów miasta</w:t>
      </w:r>
      <w:r w:rsidR="001B1A63" w:rsidRPr="0058008E">
        <w:rPr>
          <w:rFonts w:ascii="Times New Roman" w:hAnsi="Times New Roman"/>
          <w:b w:val="0"/>
          <w:i w:val="0"/>
          <w:sz w:val="24"/>
        </w:rPr>
        <w:t>.</w:t>
      </w:r>
    </w:p>
    <w:bookmarkEnd w:id="13"/>
    <w:p w14:paraId="31DCE6FF" w14:textId="77777777" w:rsidR="00B8485D" w:rsidRPr="0058008E" w:rsidRDefault="001728F9" w:rsidP="00323A72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  <w:szCs w:val="24"/>
        </w:rPr>
        <w:t xml:space="preserve">  </w:t>
      </w:r>
    </w:p>
    <w:p w14:paraId="0649B762" w14:textId="6D60A35B" w:rsidR="00F93573" w:rsidRPr="0058008E" w:rsidRDefault="00323A72" w:rsidP="00F93573">
      <w:pPr>
        <w:pStyle w:val="Tekstpodstawowy2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8008E">
        <w:rPr>
          <w:rFonts w:ascii="Times New Roman" w:hAnsi="Times New Roman"/>
          <w:b w:val="0"/>
          <w:i w:val="0"/>
          <w:sz w:val="24"/>
        </w:rPr>
        <w:t xml:space="preserve">Przestrzegany był jeden z najważniejszy wymogów ustawy o finansach publicznych określony w art.44 ust.3 </w:t>
      </w:r>
      <w:proofErr w:type="spellStart"/>
      <w:r w:rsidRPr="0058008E">
        <w:rPr>
          <w:rFonts w:ascii="Times New Roman" w:hAnsi="Times New Roman"/>
          <w:b w:val="0"/>
          <w:i w:val="0"/>
          <w:sz w:val="24"/>
        </w:rPr>
        <w:t>u.f.p</w:t>
      </w:r>
      <w:proofErr w:type="spellEnd"/>
      <w:r w:rsidRPr="0058008E">
        <w:rPr>
          <w:rFonts w:ascii="Times New Roman" w:hAnsi="Times New Roman"/>
          <w:b w:val="0"/>
          <w:i w:val="0"/>
          <w:sz w:val="24"/>
        </w:rPr>
        <w:t>.</w:t>
      </w:r>
      <w:r w:rsidRPr="0058008E">
        <w:rPr>
          <w:rStyle w:val="Odwoanieprzypisudolnego"/>
          <w:rFonts w:ascii="Times New Roman" w:hAnsi="Times New Roman"/>
          <w:b w:val="0"/>
          <w:i w:val="0"/>
          <w:sz w:val="24"/>
        </w:rPr>
        <w:t xml:space="preserve"> </w:t>
      </w:r>
      <w:r w:rsidRPr="0058008E">
        <w:rPr>
          <w:rStyle w:val="Odwoanieprzypisudolnego"/>
          <w:rFonts w:ascii="Times New Roman" w:hAnsi="Times New Roman"/>
          <w:b w:val="0"/>
          <w:i w:val="0"/>
          <w:sz w:val="24"/>
        </w:rPr>
        <w:footnoteReference w:id="22"/>
      </w:r>
      <w:r w:rsidRPr="0058008E">
        <w:rPr>
          <w:rFonts w:ascii="Times New Roman" w:hAnsi="Times New Roman"/>
          <w:b w:val="0"/>
          <w:i w:val="0"/>
          <w:sz w:val="24"/>
        </w:rPr>
        <w:t xml:space="preserve"> zgodnie, z którym wydatki publiczne winny być dokonywane w sposób celowy, oszczędny i z zachowaniem zasady uzyskiwania najlepszych efektów z danych nakładów</w:t>
      </w:r>
      <w:r w:rsidR="00F93573" w:rsidRPr="0058008E">
        <w:rPr>
          <w:rFonts w:ascii="Times New Roman" w:hAnsi="Times New Roman"/>
          <w:b w:val="0"/>
          <w:i w:val="0"/>
          <w:sz w:val="24"/>
        </w:rPr>
        <w:t xml:space="preserve">, a polityka finansowa ukierunkowana była na racjonalne gospodarowanie powierzonymi środkami publicznymi. </w:t>
      </w:r>
    </w:p>
    <w:p w14:paraId="02969856" w14:textId="550CDB61" w:rsidR="006C3CEC" w:rsidRPr="0058008E" w:rsidRDefault="00323A72" w:rsidP="00BF4926">
      <w:pPr>
        <w:pStyle w:val="Tekstpodstawowy2"/>
        <w:ind w:firstLine="709"/>
        <w:jc w:val="both"/>
        <w:rPr>
          <w:rFonts w:ascii="Times New Roman" w:hAnsi="Times New Roman"/>
          <w:b w:val="0"/>
          <w:i w:val="0"/>
          <w:color w:val="EE000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>.</w:t>
      </w:r>
      <w:r w:rsidR="00BF4926"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                                                          </w:t>
      </w:r>
    </w:p>
    <w:p w14:paraId="5D8F21A1" w14:textId="77777777" w:rsidR="00252C92" w:rsidRPr="0058008E" w:rsidRDefault="00BF4926" w:rsidP="006C3CEC">
      <w:pPr>
        <w:pStyle w:val="Tekstpodstawowy2"/>
        <w:ind w:left="4955" w:firstLine="709"/>
        <w:jc w:val="both"/>
        <w:rPr>
          <w:rFonts w:ascii="Times New Roman" w:hAnsi="Times New Roman"/>
          <w:b w:val="0"/>
          <w:i w:val="0"/>
          <w:sz w:val="24"/>
        </w:rPr>
      </w:pPr>
      <w:r w:rsidRPr="0058008E">
        <w:rPr>
          <w:rFonts w:ascii="Times New Roman" w:hAnsi="Times New Roman"/>
          <w:b w:val="0"/>
          <w:i w:val="0"/>
          <w:color w:val="EE0000"/>
          <w:sz w:val="24"/>
        </w:rPr>
        <w:t xml:space="preserve"> </w:t>
      </w:r>
      <w:r w:rsidR="00252C92" w:rsidRPr="0058008E">
        <w:rPr>
          <w:rFonts w:ascii="Times New Roman" w:hAnsi="Times New Roman"/>
          <w:i w:val="0"/>
          <w:sz w:val="24"/>
        </w:rPr>
        <w:t>SKARBNIK MIASTA SOPOTU</w:t>
      </w:r>
    </w:p>
    <w:p w14:paraId="373C4257" w14:textId="4F174561" w:rsidR="00632EF9" w:rsidRPr="0058008E" w:rsidRDefault="00503A02" w:rsidP="00C72511">
      <w:pPr>
        <w:pStyle w:val="Tekstpodstawowy2"/>
        <w:ind w:left="4248" w:firstLine="708"/>
        <w:jc w:val="center"/>
        <w:rPr>
          <w:rFonts w:ascii="Times New Roman" w:hAnsi="Times New Roman"/>
          <w:i w:val="0"/>
          <w:sz w:val="24"/>
        </w:rPr>
      </w:pPr>
      <w:r w:rsidRPr="0058008E">
        <w:rPr>
          <w:rFonts w:ascii="Times New Roman" w:hAnsi="Times New Roman"/>
          <w:sz w:val="24"/>
        </w:rPr>
        <w:t xml:space="preserve"> </w:t>
      </w:r>
      <w:r w:rsidR="00252C92" w:rsidRPr="0058008E">
        <w:rPr>
          <w:rFonts w:ascii="Times New Roman" w:hAnsi="Times New Roman"/>
          <w:sz w:val="24"/>
        </w:rPr>
        <w:t xml:space="preserve"> Mirosław Goślicki</w:t>
      </w:r>
    </w:p>
    <w:sectPr w:rsidR="00632EF9" w:rsidRPr="0058008E" w:rsidSect="00FB5BF0">
      <w:headerReference w:type="even" r:id="rId21"/>
      <w:headerReference w:type="default" r:id="rId22"/>
      <w:footerReference w:type="even" r:id="rId23"/>
      <w:footerReference w:type="default" r:id="rId24"/>
      <w:endnotePr>
        <w:numFmt w:val="decimal"/>
      </w:endnotePr>
      <w:pgSz w:w="11906" w:h="16838" w:code="9"/>
      <w:pgMar w:top="1276" w:right="707" w:bottom="1304" w:left="1418" w:header="709" w:footer="709" w:gutter="0"/>
      <w:pgNumType w:start="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0599" w14:textId="77777777" w:rsidR="007E43D1" w:rsidRDefault="007E43D1">
      <w:r>
        <w:separator/>
      </w:r>
    </w:p>
  </w:endnote>
  <w:endnote w:type="continuationSeparator" w:id="0">
    <w:p w14:paraId="04C14773" w14:textId="77777777" w:rsidR="007E43D1" w:rsidRDefault="007E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8E28" w14:textId="77777777" w:rsidR="00E50A83" w:rsidRDefault="00E50A83" w:rsidP="00C226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1C66A7" w14:textId="77777777" w:rsidR="00E50A83" w:rsidRDefault="00E50A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575708"/>
      <w:docPartObj>
        <w:docPartGallery w:val="Page Numbers (Bottom of Page)"/>
        <w:docPartUnique/>
      </w:docPartObj>
    </w:sdtPr>
    <w:sdtEndPr/>
    <w:sdtContent>
      <w:p w14:paraId="6DE8E717" w14:textId="254CD170" w:rsidR="00FB5BF0" w:rsidRDefault="00FB5B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8E5692" w14:textId="77777777" w:rsidR="00E50A83" w:rsidRDefault="00E50A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E9D5" w14:textId="77777777" w:rsidR="007E43D1" w:rsidRDefault="007E43D1">
      <w:r>
        <w:separator/>
      </w:r>
    </w:p>
  </w:footnote>
  <w:footnote w:type="continuationSeparator" w:id="0">
    <w:p w14:paraId="4EA8DB61" w14:textId="77777777" w:rsidR="007E43D1" w:rsidRDefault="007E43D1">
      <w:r>
        <w:continuationSeparator/>
      </w:r>
    </w:p>
  </w:footnote>
  <w:footnote w:id="1">
    <w:p w14:paraId="3748AF9E" w14:textId="336283FB" w:rsidR="00E50A83" w:rsidRPr="00FB4001" w:rsidRDefault="00E50A83" w:rsidP="00EA1F6C">
      <w:pPr>
        <w:pStyle w:val="Tekstprzypisudolnego"/>
      </w:pPr>
      <w:r w:rsidRPr="00FB4001">
        <w:rPr>
          <w:rStyle w:val="Odwoanieprzypisudolnego"/>
        </w:rPr>
        <w:footnoteRef/>
      </w:r>
      <w:r w:rsidRPr="00FB4001">
        <w:t xml:space="preserve"> </w:t>
      </w:r>
      <w:r w:rsidRPr="00FB4001">
        <w:rPr>
          <w:sz w:val="18"/>
          <w:szCs w:val="18"/>
        </w:rPr>
        <w:t xml:space="preserve">Uchwała Rady Miasta Sopotu Nr </w:t>
      </w:r>
      <w:r w:rsidR="003A056D">
        <w:rPr>
          <w:sz w:val="18"/>
          <w:szCs w:val="18"/>
        </w:rPr>
        <w:t>IX</w:t>
      </w:r>
      <w:r w:rsidRPr="00FB4001">
        <w:rPr>
          <w:sz w:val="18"/>
          <w:szCs w:val="18"/>
        </w:rPr>
        <w:t>/</w:t>
      </w:r>
      <w:r w:rsidR="002E22D6">
        <w:rPr>
          <w:sz w:val="18"/>
          <w:szCs w:val="18"/>
        </w:rPr>
        <w:t>8</w:t>
      </w:r>
      <w:r w:rsidR="003A056D">
        <w:rPr>
          <w:sz w:val="18"/>
          <w:szCs w:val="18"/>
        </w:rPr>
        <w:t>7</w:t>
      </w:r>
      <w:r w:rsidRPr="00FB4001">
        <w:rPr>
          <w:sz w:val="18"/>
          <w:szCs w:val="18"/>
        </w:rPr>
        <w:t>/</w:t>
      </w:r>
      <w:r w:rsidR="00FB4001" w:rsidRPr="00FB4001">
        <w:rPr>
          <w:sz w:val="18"/>
          <w:szCs w:val="18"/>
        </w:rPr>
        <w:t>202</w:t>
      </w:r>
      <w:r w:rsidR="003A056D">
        <w:rPr>
          <w:sz w:val="18"/>
          <w:szCs w:val="18"/>
        </w:rPr>
        <w:t>4</w:t>
      </w:r>
    </w:p>
  </w:footnote>
  <w:footnote w:id="2">
    <w:p w14:paraId="7A860494" w14:textId="2C068880" w:rsidR="00E50A83" w:rsidRPr="00ED0C8F" w:rsidRDefault="00E50A83">
      <w:pPr>
        <w:pStyle w:val="Tekstprzypisudolnego"/>
      </w:pPr>
      <w:r w:rsidRPr="00ED0C8F">
        <w:rPr>
          <w:rStyle w:val="Odwoanieprzypisudolnego"/>
        </w:rPr>
        <w:footnoteRef/>
      </w:r>
      <w:r w:rsidRPr="00ED0C8F">
        <w:t xml:space="preserve"> wykonanie za rok 20</w:t>
      </w:r>
      <w:r w:rsidR="00052C36" w:rsidRPr="00ED0C8F">
        <w:t>2</w:t>
      </w:r>
      <w:r w:rsidR="001C69D1">
        <w:t>4</w:t>
      </w:r>
      <w:r w:rsidRPr="00ED0C8F">
        <w:t xml:space="preserve"> wyniosło </w:t>
      </w:r>
      <w:r w:rsidR="00F11FD0" w:rsidRPr="00ED0C8F">
        <w:t>9</w:t>
      </w:r>
      <w:r w:rsidR="001C69D1">
        <w:t>4</w:t>
      </w:r>
      <w:r w:rsidR="00F11FD0" w:rsidRPr="00ED0C8F">
        <w:t>,</w:t>
      </w:r>
      <w:r w:rsidR="001C69D1">
        <w:t>74</w:t>
      </w:r>
      <w:r w:rsidRPr="00ED0C8F">
        <w:t>%</w:t>
      </w:r>
    </w:p>
  </w:footnote>
  <w:footnote w:id="3">
    <w:p w14:paraId="026AAD36" w14:textId="42769A77" w:rsidR="00E50A83" w:rsidRPr="002E1DC5" w:rsidRDefault="00E50A83">
      <w:pPr>
        <w:pStyle w:val="Tekstprzypisudolnego"/>
      </w:pPr>
      <w:r w:rsidRPr="00112A33">
        <w:rPr>
          <w:rStyle w:val="Odwoanieprzypisudolnego"/>
        </w:rPr>
        <w:footnoteRef/>
      </w:r>
      <w:r w:rsidRPr="00112A33">
        <w:t xml:space="preserve"> w poprzedn</w:t>
      </w:r>
      <w:r w:rsidR="00185487" w:rsidRPr="00112A33">
        <w:t xml:space="preserve">im roku </w:t>
      </w:r>
      <w:r w:rsidR="008C2598" w:rsidRPr="00112A33">
        <w:t>budżetowym stanowiły</w:t>
      </w:r>
      <w:r w:rsidR="00185487" w:rsidRPr="00112A33">
        <w:t xml:space="preserve"> </w:t>
      </w:r>
      <w:r w:rsidR="002E1DC5" w:rsidRPr="00112A33">
        <w:t>7</w:t>
      </w:r>
      <w:r w:rsidR="002C390F">
        <w:t>5</w:t>
      </w:r>
      <w:r w:rsidR="002E1DC5" w:rsidRPr="00112A33">
        <w:t>,</w:t>
      </w:r>
      <w:r w:rsidR="002C390F">
        <w:t>5</w:t>
      </w:r>
      <w:r w:rsidR="00112A33" w:rsidRPr="00112A33">
        <w:t>7</w:t>
      </w:r>
      <w:r w:rsidRPr="00112A33">
        <w:t xml:space="preserve">% dochodów </w:t>
      </w:r>
    </w:p>
  </w:footnote>
  <w:footnote w:id="4">
    <w:p w14:paraId="5183A571" w14:textId="0658E28F" w:rsidR="00A2041C" w:rsidRPr="008C2598" w:rsidRDefault="00A204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30029">
        <w:t xml:space="preserve"> </w:t>
      </w:r>
      <w:r w:rsidR="00030029" w:rsidRPr="008C2598">
        <w:t xml:space="preserve">w roku poprzednim była to kwota </w:t>
      </w:r>
      <w:r w:rsidR="008C2598" w:rsidRPr="008C2598">
        <w:t>11,1</w:t>
      </w:r>
      <w:r w:rsidR="00030029" w:rsidRPr="008C2598">
        <w:t xml:space="preserve"> mln zł, w roku 20</w:t>
      </w:r>
      <w:r w:rsidR="00977443" w:rsidRPr="008C2598">
        <w:t>2</w:t>
      </w:r>
      <w:r w:rsidR="008C2598" w:rsidRPr="008C2598">
        <w:t>3</w:t>
      </w:r>
      <w:r w:rsidR="00B41874" w:rsidRPr="008C2598">
        <w:t xml:space="preserve"> </w:t>
      </w:r>
      <w:r w:rsidR="00191F34" w:rsidRPr="008C2598">
        <w:t>-</w:t>
      </w:r>
      <w:r w:rsidR="008C2598" w:rsidRPr="008C2598">
        <w:t>9</w:t>
      </w:r>
      <w:r w:rsidR="00191F34" w:rsidRPr="008C2598">
        <w:t>,5</w:t>
      </w:r>
      <w:r w:rsidR="00B41874" w:rsidRPr="008C2598">
        <w:t xml:space="preserve"> mln zł</w:t>
      </w:r>
    </w:p>
  </w:footnote>
  <w:footnote w:id="5">
    <w:p w14:paraId="426EBC11" w14:textId="5D78E722" w:rsidR="009A4D25" w:rsidRPr="00B76D9E" w:rsidRDefault="009A4D25">
      <w:pPr>
        <w:pStyle w:val="Tekstprzypisudolnego"/>
      </w:pPr>
      <w:r w:rsidRPr="00095D82">
        <w:rPr>
          <w:rStyle w:val="Odwoanieprzypisudolnego"/>
        </w:rPr>
        <w:footnoteRef/>
      </w:r>
      <w:r w:rsidRPr="00095D82">
        <w:t xml:space="preserve"> w </w:t>
      </w:r>
      <w:r w:rsidRPr="00B76D9E">
        <w:t xml:space="preserve">ubiegłym roku wartość podatków wyniosła </w:t>
      </w:r>
      <w:r w:rsidR="00CF4AAE">
        <w:t>8</w:t>
      </w:r>
      <w:r w:rsidR="00095D82" w:rsidRPr="00B76D9E">
        <w:t>7</w:t>
      </w:r>
      <w:r w:rsidR="00DD535B" w:rsidRPr="00B76D9E">
        <w:t>,</w:t>
      </w:r>
      <w:r w:rsidR="00CF4AAE">
        <w:t>7</w:t>
      </w:r>
      <w:r w:rsidRPr="00B76D9E">
        <w:t xml:space="preserve"> mln zł</w:t>
      </w:r>
    </w:p>
  </w:footnote>
  <w:footnote w:id="6">
    <w:p w14:paraId="2D31A4C1" w14:textId="09A3F930" w:rsidR="002A0560" w:rsidRPr="00B10D67" w:rsidRDefault="002A0560">
      <w:pPr>
        <w:pStyle w:val="Tekstprzypisudolnego"/>
      </w:pPr>
      <w:r w:rsidRPr="00B10D67">
        <w:rPr>
          <w:rStyle w:val="Odwoanieprzypisudolnego"/>
        </w:rPr>
        <w:footnoteRef/>
      </w:r>
      <w:r w:rsidRPr="00B10D67">
        <w:t xml:space="preserve"> Rok 20</w:t>
      </w:r>
      <w:r w:rsidR="001C1D8A" w:rsidRPr="00B10D67">
        <w:t>2</w:t>
      </w:r>
      <w:r w:rsidR="00B10D67" w:rsidRPr="00B10D67">
        <w:t>3</w:t>
      </w:r>
      <w:r w:rsidRPr="00B10D67">
        <w:t xml:space="preserve"> </w:t>
      </w:r>
      <w:r w:rsidR="007E338F" w:rsidRPr="00B10D67">
        <w:t>–</w:t>
      </w:r>
      <w:r w:rsidRPr="00B10D67">
        <w:t xml:space="preserve"> </w:t>
      </w:r>
      <w:r w:rsidR="00B10D67" w:rsidRPr="00B10D67">
        <w:t>17,5 mln</w:t>
      </w:r>
      <w:r w:rsidRPr="00B10D67">
        <w:t xml:space="preserve"> zł, rok 202</w:t>
      </w:r>
      <w:r w:rsidR="00B10D67" w:rsidRPr="00B10D67">
        <w:t>4</w:t>
      </w:r>
      <w:r w:rsidRPr="00B10D67">
        <w:t xml:space="preserve"> – </w:t>
      </w:r>
      <w:r w:rsidR="001C1D8A" w:rsidRPr="00B10D67">
        <w:t>1</w:t>
      </w:r>
      <w:r w:rsidR="00B10D67" w:rsidRPr="00B10D67">
        <w:t>8</w:t>
      </w:r>
      <w:r w:rsidRPr="00B10D67">
        <w:t xml:space="preserve"> mln zł</w:t>
      </w:r>
    </w:p>
  </w:footnote>
  <w:footnote w:id="7">
    <w:p w14:paraId="648A4C04" w14:textId="72D2175A" w:rsidR="00E50A83" w:rsidRPr="006D684F" w:rsidRDefault="00E50A83">
      <w:pPr>
        <w:pStyle w:val="Tekstprzypisudolnego"/>
      </w:pPr>
      <w:r w:rsidRPr="006D684F">
        <w:rPr>
          <w:rStyle w:val="Odwoanieprzypisudolnego"/>
        </w:rPr>
        <w:footnoteRef/>
      </w:r>
      <w:r w:rsidRPr="006D684F">
        <w:t xml:space="preserve"> udział teg</w:t>
      </w:r>
      <w:r w:rsidR="00C91459" w:rsidRPr="006D684F">
        <w:t>o podatku w</w:t>
      </w:r>
      <w:r w:rsidR="0037275C" w:rsidRPr="006D684F">
        <w:t xml:space="preserve"> </w:t>
      </w:r>
      <w:r w:rsidR="001D3351" w:rsidRPr="006D684F">
        <w:t>202</w:t>
      </w:r>
      <w:r w:rsidR="006D684F" w:rsidRPr="006D684F">
        <w:t>4</w:t>
      </w:r>
      <w:r w:rsidR="001D3351" w:rsidRPr="006D684F">
        <w:t xml:space="preserve"> roku </w:t>
      </w:r>
      <w:r w:rsidR="006D684F" w:rsidRPr="006D684F">
        <w:t>26,75</w:t>
      </w:r>
      <w:r w:rsidR="001D3351" w:rsidRPr="006D684F">
        <w:t>%</w:t>
      </w:r>
    </w:p>
  </w:footnote>
  <w:footnote w:id="8">
    <w:p w14:paraId="28930F5E" w14:textId="4364AE68" w:rsidR="00E50A83" w:rsidRPr="00980B53" w:rsidRDefault="00E50A83">
      <w:pPr>
        <w:pStyle w:val="Tekstprzypisudolnego"/>
      </w:pPr>
      <w:r w:rsidRPr="00980B53">
        <w:rPr>
          <w:rStyle w:val="Odwoanieprzypisudolnego"/>
        </w:rPr>
        <w:footnoteRef/>
      </w:r>
      <w:r w:rsidRPr="00980B53">
        <w:t xml:space="preserve"> </w:t>
      </w:r>
      <w:r w:rsidR="0045257B" w:rsidRPr="00980B53">
        <w:t>udział tego podatku w 202</w:t>
      </w:r>
      <w:r w:rsidR="00980B53" w:rsidRPr="00980B53">
        <w:t>4</w:t>
      </w:r>
      <w:r w:rsidR="0045257B" w:rsidRPr="00980B53">
        <w:t xml:space="preserve"> </w:t>
      </w:r>
      <w:r w:rsidR="00C91459" w:rsidRPr="00980B53">
        <w:t xml:space="preserve">roku </w:t>
      </w:r>
      <w:r w:rsidR="00980B53" w:rsidRPr="00980B53">
        <w:t>6</w:t>
      </w:r>
      <w:r w:rsidR="00C91459" w:rsidRPr="00980B53">
        <w:t>,</w:t>
      </w:r>
      <w:r w:rsidR="00980B53" w:rsidRPr="00980B53">
        <w:t>11</w:t>
      </w:r>
      <w:r w:rsidR="0045257B" w:rsidRPr="00980B53">
        <w:t xml:space="preserve"> </w:t>
      </w:r>
      <w:r w:rsidRPr="00980B53">
        <w:t>%</w:t>
      </w:r>
    </w:p>
  </w:footnote>
  <w:footnote w:id="9">
    <w:p w14:paraId="11D157A8" w14:textId="22B9B73B" w:rsidR="008969A5" w:rsidRPr="002E22D6" w:rsidRDefault="008969A5">
      <w:pPr>
        <w:pStyle w:val="Tekstprzypisudolnego"/>
        <w:rPr>
          <w:color w:val="FF0000"/>
        </w:rPr>
      </w:pPr>
      <w:r w:rsidRPr="00703674">
        <w:rPr>
          <w:rStyle w:val="Odwoanieprzypisudolnego"/>
        </w:rPr>
        <w:footnoteRef/>
      </w:r>
      <w:r w:rsidRPr="00703674">
        <w:t xml:space="preserve"> w</w:t>
      </w:r>
      <w:r w:rsidRPr="000236C9">
        <w:t xml:space="preserve"> roku</w:t>
      </w:r>
      <w:r w:rsidR="00261C88" w:rsidRPr="000236C9">
        <w:t xml:space="preserve"> 202</w:t>
      </w:r>
      <w:r w:rsidR="004F7A25">
        <w:t>4</w:t>
      </w:r>
      <w:r w:rsidR="00261C88" w:rsidRPr="000236C9">
        <w:t xml:space="preserve"> była to kwota </w:t>
      </w:r>
      <w:r w:rsidR="004F7A25">
        <w:t>8,9</w:t>
      </w:r>
      <w:r w:rsidR="00261C88" w:rsidRPr="000236C9">
        <w:t xml:space="preserve"> mln zł </w:t>
      </w:r>
    </w:p>
  </w:footnote>
  <w:footnote w:id="10">
    <w:p w14:paraId="271C7045" w14:textId="654B4F5D" w:rsidR="00E50A83" w:rsidRPr="00683888" w:rsidRDefault="00E50A83">
      <w:pPr>
        <w:pStyle w:val="Tekstprzypisudolnego"/>
        <w:rPr>
          <w:sz w:val="18"/>
          <w:szCs w:val="18"/>
        </w:rPr>
      </w:pPr>
      <w:r w:rsidRPr="00683888">
        <w:rPr>
          <w:rStyle w:val="Odwoanieprzypisudolnego"/>
          <w:sz w:val="18"/>
          <w:szCs w:val="18"/>
        </w:rPr>
        <w:footnoteRef/>
      </w:r>
      <w:r w:rsidRPr="00683888">
        <w:rPr>
          <w:sz w:val="18"/>
          <w:szCs w:val="18"/>
        </w:rPr>
        <w:t xml:space="preserve"> w poprzednim roku sprawozdawczym miast</w:t>
      </w:r>
      <w:r w:rsidR="008969A5" w:rsidRPr="00683888">
        <w:rPr>
          <w:sz w:val="18"/>
          <w:szCs w:val="18"/>
        </w:rPr>
        <w:t>o otrzymało</w:t>
      </w:r>
      <w:r w:rsidR="00261C88" w:rsidRPr="00683888">
        <w:rPr>
          <w:sz w:val="18"/>
          <w:szCs w:val="18"/>
        </w:rPr>
        <w:t xml:space="preserve"> </w:t>
      </w:r>
      <w:r w:rsidR="00683888" w:rsidRPr="00683888">
        <w:rPr>
          <w:sz w:val="18"/>
          <w:szCs w:val="18"/>
        </w:rPr>
        <w:t>1,6</w:t>
      </w:r>
      <w:r w:rsidR="00261C88" w:rsidRPr="00683888">
        <w:rPr>
          <w:sz w:val="18"/>
          <w:szCs w:val="18"/>
        </w:rPr>
        <w:t xml:space="preserve"> mln zł, </w:t>
      </w:r>
    </w:p>
  </w:footnote>
  <w:footnote w:id="11">
    <w:p w14:paraId="090BCF4D" w14:textId="769304CE" w:rsidR="00600D30" w:rsidRPr="00D810EA" w:rsidRDefault="00600D30" w:rsidP="00600D30">
      <w:pPr>
        <w:pStyle w:val="Tekstprzypisudolnego"/>
        <w:rPr>
          <w:sz w:val="18"/>
          <w:szCs w:val="18"/>
        </w:rPr>
      </w:pPr>
      <w:r w:rsidRPr="00D810EA">
        <w:rPr>
          <w:rStyle w:val="Odwoanieprzypisudolnego"/>
          <w:sz w:val="18"/>
          <w:szCs w:val="18"/>
        </w:rPr>
        <w:footnoteRef/>
      </w:r>
      <w:r w:rsidRPr="00D810EA">
        <w:rPr>
          <w:sz w:val="18"/>
          <w:szCs w:val="18"/>
        </w:rPr>
        <w:t xml:space="preserve"> w analogicznym okresie roku poprzedniego miasto pozyskało środki </w:t>
      </w:r>
      <w:r w:rsidR="00C97B4E" w:rsidRPr="00D810EA">
        <w:rPr>
          <w:sz w:val="18"/>
          <w:szCs w:val="18"/>
        </w:rPr>
        <w:t>w kwocie</w:t>
      </w:r>
      <w:r w:rsidRPr="00D810EA">
        <w:rPr>
          <w:sz w:val="18"/>
          <w:szCs w:val="18"/>
        </w:rPr>
        <w:t xml:space="preserve"> </w:t>
      </w:r>
      <w:r w:rsidR="00703674" w:rsidRPr="00D810EA">
        <w:rPr>
          <w:sz w:val="18"/>
          <w:szCs w:val="18"/>
        </w:rPr>
        <w:t>7,</w:t>
      </w:r>
      <w:r w:rsidR="00D810EA" w:rsidRPr="00D810EA">
        <w:rPr>
          <w:sz w:val="18"/>
          <w:szCs w:val="18"/>
        </w:rPr>
        <w:t>3</w:t>
      </w:r>
      <w:r w:rsidR="00435641" w:rsidRPr="00D810EA">
        <w:rPr>
          <w:sz w:val="18"/>
          <w:szCs w:val="18"/>
        </w:rPr>
        <w:t xml:space="preserve"> mln zł, </w:t>
      </w:r>
    </w:p>
  </w:footnote>
  <w:footnote w:id="12">
    <w:p w14:paraId="251C7459" w14:textId="1FBDA9B6" w:rsidR="00E50A83" w:rsidRPr="002E22D6" w:rsidRDefault="00E50A83">
      <w:pPr>
        <w:pStyle w:val="Tekstprzypisudolnego"/>
        <w:rPr>
          <w:color w:val="FF0000"/>
        </w:rPr>
      </w:pPr>
      <w:r w:rsidRPr="00095D82">
        <w:rPr>
          <w:rStyle w:val="Odwoanieprzypisudolnego"/>
        </w:rPr>
        <w:footnoteRef/>
      </w:r>
      <w:r w:rsidR="00A024DC" w:rsidRPr="00095D82">
        <w:t xml:space="preserve"> w roku 20</w:t>
      </w:r>
      <w:r w:rsidR="0089393B" w:rsidRPr="00095D82">
        <w:t>2</w:t>
      </w:r>
      <w:r w:rsidR="00E03D0C">
        <w:t>3</w:t>
      </w:r>
      <w:r w:rsidR="00A024DC" w:rsidRPr="00095D82">
        <w:t xml:space="preserve"> wpływy z tego źródła wyniosły </w:t>
      </w:r>
      <w:r w:rsidR="00095D82" w:rsidRPr="00095D82">
        <w:t>1,</w:t>
      </w:r>
      <w:r w:rsidR="00E03D0C">
        <w:t>4</w:t>
      </w:r>
      <w:r w:rsidRPr="00095D82">
        <w:t xml:space="preserve"> mln zł</w:t>
      </w:r>
      <w:r w:rsidR="00CE303B" w:rsidRPr="00095D82">
        <w:t>, w 202</w:t>
      </w:r>
      <w:r w:rsidR="00E03D0C">
        <w:t>4</w:t>
      </w:r>
      <w:r w:rsidR="00CE303B" w:rsidRPr="00095D82">
        <w:t xml:space="preserve"> </w:t>
      </w:r>
      <w:r w:rsidR="00B0167A" w:rsidRPr="00095D82">
        <w:t>1,</w:t>
      </w:r>
      <w:r w:rsidR="00E03D0C">
        <w:t>2</w:t>
      </w:r>
      <w:r w:rsidR="00CE303B" w:rsidRPr="00095D82">
        <w:t xml:space="preserve"> mln zł</w:t>
      </w:r>
    </w:p>
  </w:footnote>
  <w:footnote w:id="13">
    <w:p w14:paraId="4FA836B9" w14:textId="4DE0FDA1" w:rsidR="00E50A83" w:rsidRPr="00112A33" w:rsidRDefault="00E50A83">
      <w:pPr>
        <w:pStyle w:val="Tekstprzypisudolnego"/>
      </w:pPr>
      <w:r w:rsidRPr="00112A33">
        <w:rPr>
          <w:rStyle w:val="Odwoanieprzypisudolnego"/>
        </w:rPr>
        <w:footnoteRef/>
      </w:r>
      <w:r w:rsidRPr="00112A33">
        <w:t xml:space="preserve"> podatek ten wpłynął do </w:t>
      </w:r>
      <w:r w:rsidR="0050294F" w:rsidRPr="00112A33">
        <w:t>ubiegłorocznego budżetu</w:t>
      </w:r>
      <w:r w:rsidR="00F200F8" w:rsidRPr="00112A33">
        <w:t xml:space="preserve"> w wysokości </w:t>
      </w:r>
      <w:r w:rsidR="00234B9F">
        <w:t>33,11</w:t>
      </w:r>
      <w:r w:rsidR="006E1C22" w:rsidRPr="00112A33">
        <w:t xml:space="preserve"> mln zł, </w:t>
      </w:r>
    </w:p>
  </w:footnote>
  <w:footnote w:id="14">
    <w:p w14:paraId="05DE9065" w14:textId="2733187E" w:rsidR="00E50A83" w:rsidRPr="00FC7A82" w:rsidRDefault="00E50A83">
      <w:pPr>
        <w:pStyle w:val="Tekstprzypisudolnego"/>
      </w:pPr>
      <w:r w:rsidRPr="00FC7A82">
        <w:rPr>
          <w:rStyle w:val="Odwoanieprzypisudolnego"/>
        </w:rPr>
        <w:footnoteRef/>
      </w:r>
      <w:r w:rsidR="00835FD3" w:rsidRPr="00FC7A82">
        <w:t xml:space="preserve"> w roku 20</w:t>
      </w:r>
      <w:r w:rsidR="002D01E1" w:rsidRPr="00FC7A82">
        <w:t>2</w:t>
      </w:r>
      <w:r w:rsidR="00DE5C8A">
        <w:t>4</w:t>
      </w:r>
      <w:r w:rsidRPr="00FC7A82">
        <w:t xml:space="preserve"> udział opłaty w strukturze podatków lokalnych wyniósł </w:t>
      </w:r>
      <w:r w:rsidR="00DE5C8A">
        <w:t>5,05</w:t>
      </w:r>
      <w:r w:rsidRPr="00FC7A82">
        <w:t xml:space="preserve"> %</w:t>
      </w:r>
      <w:r w:rsidR="0056071D" w:rsidRPr="00FC7A82">
        <w:t xml:space="preserve"> a w 202</w:t>
      </w:r>
      <w:r w:rsidR="00DE5C8A">
        <w:t>3</w:t>
      </w:r>
      <w:r w:rsidR="0056071D" w:rsidRPr="00FC7A82">
        <w:t xml:space="preserve"> </w:t>
      </w:r>
      <w:r w:rsidR="00FC7A82" w:rsidRPr="00FC7A82">
        <w:t>4</w:t>
      </w:r>
      <w:r w:rsidR="0056071D" w:rsidRPr="00FC7A82">
        <w:t>,</w:t>
      </w:r>
      <w:r w:rsidR="00FC7A82" w:rsidRPr="00FC7A82">
        <w:t>7</w:t>
      </w:r>
      <w:r w:rsidR="00DE5C8A">
        <w:t>8</w:t>
      </w:r>
      <w:r w:rsidR="0056071D" w:rsidRPr="00FC7A82">
        <w:t>%</w:t>
      </w:r>
    </w:p>
  </w:footnote>
  <w:footnote w:id="15">
    <w:p w14:paraId="465620C6" w14:textId="275C5FE1" w:rsidR="00E50A83" w:rsidRPr="00686DCB" w:rsidRDefault="00E50A83">
      <w:pPr>
        <w:pStyle w:val="Tekstprzypisudolnego"/>
      </w:pPr>
      <w:r w:rsidRPr="00686DCB">
        <w:rPr>
          <w:rStyle w:val="Odwoanieprzypisudolnego"/>
        </w:rPr>
        <w:footnoteRef/>
      </w:r>
      <w:r w:rsidRPr="00686DCB">
        <w:t xml:space="preserve"> wykonanie w analogicznym okresie sprawoz</w:t>
      </w:r>
      <w:r w:rsidR="00A63E13" w:rsidRPr="00686DCB">
        <w:t>dawczym roku 20</w:t>
      </w:r>
      <w:r w:rsidR="00AC0D0B" w:rsidRPr="00686DCB">
        <w:t>2</w:t>
      </w:r>
      <w:r w:rsidR="00E25C72" w:rsidRPr="00686DCB">
        <w:t>3</w:t>
      </w:r>
      <w:r w:rsidR="00B02867" w:rsidRPr="00686DCB">
        <w:t xml:space="preserve"> </w:t>
      </w:r>
      <w:r w:rsidR="00A63E13" w:rsidRPr="00686DCB">
        <w:t xml:space="preserve">wyniosło </w:t>
      </w:r>
      <w:r w:rsidR="007C01D1" w:rsidRPr="00686DCB">
        <w:t>87,</w:t>
      </w:r>
      <w:r w:rsidR="00E25C72" w:rsidRPr="00686DCB">
        <w:t>14</w:t>
      </w:r>
      <w:r w:rsidRPr="00686DCB">
        <w:t>%</w:t>
      </w:r>
      <w:r w:rsidR="00721DA0" w:rsidRPr="00686DCB">
        <w:t>, w 202</w:t>
      </w:r>
      <w:r w:rsidR="00E25C72" w:rsidRPr="00686DCB">
        <w:t>2</w:t>
      </w:r>
      <w:r w:rsidR="00721DA0" w:rsidRPr="00686DCB">
        <w:t xml:space="preserve"> </w:t>
      </w:r>
      <w:r w:rsidR="00E25C72" w:rsidRPr="00686DCB">
        <w:t>87,96</w:t>
      </w:r>
      <w:r w:rsidR="00721DA0" w:rsidRPr="00686DCB">
        <w:t xml:space="preserve"> %</w:t>
      </w:r>
    </w:p>
  </w:footnote>
  <w:footnote w:id="16">
    <w:p w14:paraId="7A5F97CA" w14:textId="5EA83161" w:rsidR="00E50A83" w:rsidRPr="002C7CF2" w:rsidRDefault="00E50A83" w:rsidP="0079633A">
      <w:pPr>
        <w:pStyle w:val="Tekstprzypisudolnego"/>
        <w:jc w:val="both"/>
      </w:pPr>
      <w:r w:rsidRPr="00B01BD2">
        <w:rPr>
          <w:rStyle w:val="Odwoanieprzypisudolnego"/>
        </w:rPr>
        <w:footnoteRef/>
      </w:r>
      <w:r w:rsidR="0003351A" w:rsidRPr="00B01BD2">
        <w:t xml:space="preserve"> </w:t>
      </w:r>
      <w:r w:rsidR="0003351A" w:rsidRPr="002C7CF2">
        <w:t>w roku 20</w:t>
      </w:r>
      <w:r w:rsidR="00506A12" w:rsidRPr="002C7CF2">
        <w:t>2</w:t>
      </w:r>
      <w:r w:rsidR="002C7CF2" w:rsidRPr="002C7CF2">
        <w:t>3</w:t>
      </w:r>
      <w:r w:rsidRPr="002C7CF2">
        <w:t xml:space="preserve"> kwota niezrealizowanych wydatków bieżących </w:t>
      </w:r>
      <w:r w:rsidR="005A3646" w:rsidRPr="002C7CF2">
        <w:t xml:space="preserve">wyniosła </w:t>
      </w:r>
      <w:r w:rsidR="002C7CF2" w:rsidRPr="002C7CF2">
        <w:t>29,4</w:t>
      </w:r>
      <w:r w:rsidR="000360F9" w:rsidRPr="002C7CF2">
        <w:t xml:space="preserve"> mln zł</w:t>
      </w:r>
      <w:r w:rsidR="00506A12" w:rsidRPr="002C7CF2">
        <w:t>, w 202</w:t>
      </w:r>
      <w:r w:rsidR="002C7CF2" w:rsidRPr="002C7CF2">
        <w:t>4</w:t>
      </w:r>
      <w:r w:rsidR="00506A12" w:rsidRPr="002C7CF2">
        <w:t xml:space="preserve"> </w:t>
      </w:r>
      <w:r w:rsidR="002C7CF2" w:rsidRPr="002C7CF2">
        <w:t>26,6</w:t>
      </w:r>
      <w:r w:rsidR="00506A12" w:rsidRPr="002C7CF2">
        <w:t xml:space="preserve"> mln zł</w:t>
      </w:r>
    </w:p>
  </w:footnote>
  <w:footnote w:id="17">
    <w:p w14:paraId="404F1F16" w14:textId="10A95EE0" w:rsidR="00E50A83" w:rsidRPr="00992742" w:rsidRDefault="00E50A83" w:rsidP="00841426">
      <w:pPr>
        <w:pStyle w:val="Tekstprzypisudolnego"/>
      </w:pPr>
      <w:r w:rsidRPr="00992742">
        <w:rPr>
          <w:rStyle w:val="Odwoanieprzypisudolnego"/>
        </w:rPr>
        <w:footnoteRef/>
      </w:r>
      <w:r w:rsidR="009C3CC8" w:rsidRPr="00992742">
        <w:t xml:space="preserve"> w roku 20</w:t>
      </w:r>
      <w:r w:rsidR="004B3100" w:rsidRPr="00992742">
        <w:t>2</w:t>
      </w:r>
      <w:r w:rsidR="00992742" w:rsidRPr="00992742">
        <w:t>4</w:t>
      </w:r>
      <w:r w:rsidRPr="00992742">
        <w:t xml:space="preserve"> świadczenia społeczne zrea</w:t>
      </w:r>
      <w:r w:rsidR="009C3CC8" w:rsidRPr="00992742">
        <w:t xml:space="preserve">lizowane zostały w </w:t>
      </w:r>
      <w:r w:rsidR="004A50F4" w:rsidRPr="00992742">
        <w:t xml:space="preserve">wysokości </w:t>
      </w:r>
      <w:r w:rsidR="00063854" w:rsidRPr="00992742">
        <w:t>2</w:t>
      </w:r>
      <w:r w:rsidR="00992742" w:rsidRPr="00992742">
        <w:t>2</w:t>
      </w:r>
      <w:r w:rsidR="00063854" w:rsidRPr="00992742">
        <w:t>,</w:t>
      </w:r>
      <w:r w:rsidR="00992742" w:rsidRPr="00992742">
        <w:t>9</w:t>
      </w:r>
      <w:r w:rsidRPr="00992742">
        <w:t xml:space="preserve"> mln zł</w:t>
      </w:r>
      <w:r w:rsidR="006C5544" w:rsidRPr="00992742">
        <w:t>, w 202</w:t>
      </w:r>
      <w:r w:rsidR="00992742" w:rsidRPr="00992742">
        <w:t>3</w:t>
      </w:r>
      <w:r w:rsidR="006C5544" w:rsidRPr="00992742">
        <w:t xml:space="preserve"> w kwocie </w:t>
      </w:r>
      <w:r w:rsidR="00992742" w:rsidRPr="00992742">
        <w:t>21,6</w:t>
      </w:r>
      <w:r w:rsidR="006C5544" w:rsidRPr="00992742">
        <w:t xml:space="preserve"> mln zł</w:t>
      </w:r>
    </w:p>
  </w:footnote>
  <w:footnote w:id="18">
    <w:p w14:paraId="36686ED4" w14:textId="3D839168" w:rsidR="00E50A83" w:rsidRPr="00992742" w:rsidRDefault="00E50A83">
      <w:pPr>
        <w:pStyle w:val="Tekstprzypisudolnego"/>
      </w:pPr>
      <w:r w:rsidRPr="00992742">
        <w:rPr>
          <w:rStyle w:val="Odwoanieprzypisudolnego"/>
        </w:rPr>
        <w:footnoteRef/>
      </w:r>
      <w:r w:rsidR="00BE4655" w:rsidRPr="00992742">
        <w:t xml:space="preserve"> w roku 20</w:t>
      </w:r>
      <w:r w:rsidR="002E4C36" w:rsidRPr="00992742">
        <w:t>2</w:t>
      </w:r>
      <w:r w:rsidR="00992742" w:rsidRPr="00992742">
        <w:t>4</w:t>
      </w:r>
      <w:r w:rsidR="00BE4655" w:rsidRPr="00992742">
        <w:t xml:space="preserve"> była to kwota rzędu </w:t>
      </w:r>
      <w:r w:rsidR="00E1202A" w:rsidRPr="00992742">
        <w:t>15,</w:t>
      </w:r>
      <w:r w:rsidR="00992742" w:rsidRPr="00992742">
        <w:t>5</w:t>
      </w:r>
      <w:r w:rsidRPr="00992742">
        <w:t xml:space="preserve"> mln zł</w:t>
      </w:r>
      <w:r w:rsidR="00F3624F" w:rsidRPr="00992742">
        <w:t>, w 202</w:t>
      </w:r>
      <w:r w:rsidR="00992742" w:rsidRPr="00992742">
        <w:t>3</w:t>
      </w:r>
      <w:r w:rsidR="00F3624F" w:rsidRPr="00992742">
        <w:t xml:space="preserve"> – </w:t>
      </w:r>
      <w:r w:rsidR="00992742" w:rsidRPr="00992742">
        <w:t>15,2</w:t>
      </w:r>
      <w:r w:rsidR="00F3624F" w:rsidRPr="00992742">
        <w:t xml:space="preserve"> mln zł</w:t>
      </w:r>
    </w:p>
  </w:footnote>
  <w:footnote w:id="19">
    <w:p w14:paraId="6385BFFB" w14:textId="27022AD6" w:rsidR="00E50A83" w:rsidRPr="00AA64E9" w:rsidRDefault="00E50A83">
      <w:pPr>
        <w:pStyle w:val="Tekstprzypisudolnego"/>
      </w:pPr>
      <w:r w:rsidRPr="00AA64E9">
        <w:rPr>
          <w:rStyle w:val="Odwoanieprzypisudolnego"/>
        </w:rPr>
        <w:footnoteRef/>
      </w:r>
      <w:r w:rsidRPr="00AA64E9">
        <w:t xml:space="preserve"> placówki odprowadziły do budżetu miasta łączni</w:t>
      </w:r>
      <w:r w:rsidR="00886D00" w:rsidRPr="00AA64E9">
        <w:t>e dochody w wysokości blisko 1,</w:t>
      </w:r>
      <w:r w:rsidR="00AA5A9B">
        <w:t>3</w:t>
      </w:r>
      <w:r w:rsidRPr="00AA64E9">
        <w:t xml:space="preserve"> mln zł z </w:t>
      </w:r>
      <w:r w:rsidR="00254C0D" w:rsidRPr="00AA64E9">
        <w:t>czego: z</w:t>
      </w:r>
      <w:r w:rsidRPr="00AA64E9">
        <w:t xml:space="preserve"> tytułu najmu</w:t>
      </w:r>
    </w:p>
    <w:p w14:paraId="1D22E51D" w14:textId="5A611C86" w:rsidR="00E50A83" w:rsidRPr="002E22D6" w:rsidRDefault="00E50A83">
      <w:pPr>
        <w:pStyle w:val="Tekstprzypisudolnego"/>
        <w:rPr>
          <w:color w:val="FF0000"/>
        </w:rPr>
      </w:pPr>
      <w:r w:rsidRPr="00AA64E9">
        <w:t xml:space="preserve">    pomieszczeń (</w:t>
      </w:r>
      <w:r w:rsidR="00AA5A9B">
        <w:t>1,0</w:t>
      </w:r>
      <w:r w:rsidRPr="00AA64E9">
        <w:t xml:space="preserve"> mln zł) oraz z odpłatności rodziców za pobyt dzieci w przedszkol</w:t>
      </w:r>
      <w:r w:rsidR="00886D00" w:rsidRPr="00AA64E9">
        <w:t>ach miejskich (</w:t>
      </w:r>
      <w:r w:rsidR="0000077E" w:rsidRPr="00AA64E9">
        <w:t>0,</w:t>
      </w:r>
      <w:r w:rsidR="00AA64E9" w:rsidRPr="00AA64E9">
        <w:t>3</w:t>
      </w:r>
      <w:r w:rsidRPr="00AA64E9">
        <w:t xml:space="preserve"> mln zł)</w:t>
      </w:r>
    </w:p>
  </w:footnote>
  <w:footnote w:id="20">
    <w:p w14:paraId="5EBC56B6" w14:textId="3A16B7A8" w:rsidR="00746640" w:rsidRPr="002E22D6" w:rsidRDefault="00746640" w:rsidP="00746640">
      <w:pPr>
        <w:pStyle w:val="Tekstprzypisudolnego"/>
        <w:rPr>
          <w:color w:val="FF0000"/>
        </w:rPr>
      </w:pPr>
      <w:r w:rsidRPr="008E604B">
        <w:rPr>
          <w:rStyle w:val="Odwoanieprzypisudolnego"/>
        </w:rPr>
        <w:footnoteRef/>
      </w:r>
      <w:r w:rsidRPr="008E604B">
        <w:t xml:space="preserve"> w poprzednim roku budżetowym kwota ta wyniosła </w:t>
      </w:r>
      <w:r w:rsidR="008E604B" w:rsidRPr="008E604B">
        <w:t>4.676.284</w:t>
      </w:r>
      <w:r w:rsidRPr="008E604B">
        <w:t xml:space="preserve"> zł</w:t>
      </w:r>
    </w:p>
  </w:footnote>
  <w:footnote w:id="21">
    <w:p w14:paraId="7A576166" w14:textId="5BB9BFA9" w:rsidR="001B1A63" w:rsidRPr="009823E9" w:rsidRDefault="001B1A63" w:rsidP="001B1A63">
      <w:pPr>
        <w:pStyle w:val="Tekstprzypisudolnego"/>
      </w:pPr>
      <w:r w:rsidRPr="009823E9">
        <w:rPr>
          <w:rStyle w:val="Odwoanieprzypisudolnego"/>
        </w:rPr>
        <w:footnoteRef/>
      </w:r>
      <w:r w:rsidRPr="009823E9">
        <w:t xml:space="preserve"> </w:t>
      </w:r>
      <w:r w:rsidR="00062055" w:rsidRPr="009823E9">
        <w:t>deficyt</w:t>
      </w:r>
      <w:r w:rsidRPr="009823E9">
        <w:t xml:space="preserve"> w roku ubiegłym wyniosła </w:t>
      </w:r>
      <w:r w:rsidR="009823E9" w:rsidRPr="009823E9">
        <w:t>23,8</w:t>
      </w:r>
      <w:r w:rsidRPr="009823E9">
        <w:t xml:space="preserve"> mln zł, w roku 20</w:t>
      </w:r>
      <w:r w:rsidR="00062055" w:rsidRPr="009823E9">
        <w:t>2</w:t>
      </w:r>
      <w:r w:rsidR="009823E9" w:rsidRPr="009823E9">
        <w:t>2</w:t>
      </w:r>
      <w:r w:rsidRPr="009823E9">
        <w:t xml:space="preserve"> </w:t>
      </w:r>
      <w:r w:rsidR="009823E9" w:rsidRPr="009823E9">
        <w:t>39</w:t>
      </w:r>
      <w:r w:rsidRPr="009823E9">
        <w:t>,</w:t>
      </w:r>
      <w:r w:rsidR="009823E9" w:rsidRPr="009823E9">
        <w:t>2</w:t>
      </w:r>
      <w:r w:rsidRPr="009823E9">
        <w:t xml:space="preserve"> ml zł </w:t>
      </w:r>
    </w:p>
  </w:footnote>
  <w:footnote w:id="22">
    <w:p w14:paraId="05408BBB" w14:textId="7FB364B0" w:rsidR="00323A72" w:rsidRPr="002E22D6" w:rsidRDefault="00323A72" w:rsidP="00323A72">
      <w:pPr>
        <w:pStyle w:val="Tekstprzypisudolnego"/>
        <w:rPr>
          <w:color w:val="FF0000"/>
        </w:rPr>
      </w:pPr>
      <w:r w:rsidRPr="00207F64">
        <w:rPr>
          <w:rStyle w:val="Odwoanieprzypisudolnego"/>
        </w:rPr>
        <w:footnoteRef/>
      </w:r>
      <w:r w:rsidRPr="00207F64">
        <w:t xml:space="preserve"> ustawa z dnia 27 sierpnia 2009 r. o finansach publicznych (</w:t>
      </w:r>
      <w:r w:rsidR="00DF3A67" w:rsidRPr="00207F64">
        <w:t>Dz.U.202</w:t>
      </w:r>
      <w:r w:rsidR="009132A3">
        <w:t>5</w:t>
      </w:r>
      <w:r w:rsidR="00DF3A67" w:rsidRPr="00207F64">
        <w:t>.</w:t>
      </w:r>
      <w:r w:rsidR="009132A3">
        <w:t>1483</w:t>
      </w:r>
      <w:r w:rsidR="00DF3A67" w:rsidRPr="00207F64">
        <w:t xml:space="preserve"> </w:t>
      </w:r>
      <w:r w:rsidR="00207F64" w:rsidRPr="00207F64">
        <w:t xml:space="preserve">z </w:t>
      </w:r>
      <w:proofErr w:type="spellStart"/>
      <w:r w:rsidR="00207F64" w:rsidRPr="00207F64">
        <w:t>późn</w:t>
      </w:r>
      <w:proofErr w:type="spellEnd"/>
      <w:r w:rsidR="00207F64" w:rsidRPr="00207F64">
        <w:t>. zm</w:t>
      </w:r>
      <w:r w:rsidRPr="00207F64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59C0" w14:textId="77777777" w:rsidR="00E50A83" w:rsidRDefault="00E50A83" w:rsidP="0075385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37DBB6" w14:textId="77777777" w:rsidR="00E50A83" w:rsidRDefault="00E50A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C9D" w14:textId="5C84700C" w:rsidR="00DA7EE1" w:rsidRDefault="00DA7EE1" w:rsidP="00DA7EE1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rFonts w:ascii="Bookman Old Style" w:hAnsi="Bookman Old Style"/>
      </w:rPr>
    </w:pPr>
    <w:r w:rsidRPr="00327A8C">
      <w:rPr>
        <w:noProof/>
      </w:rPr>
      <w:drawing>
        <wp:inline distT="0" distB="0" distL="0" distR="0" wp14:anchorId="7A0C05CB" wp14:editId="64B70695">
          <wp:extent cx="1367790" cy="524510"/>
          <wp:effectExtent l="0" t="0" r="3810" b="8890"/>
          <wp:docPr id="1977381126" name="Obraz 1" descr="Obraz zawierający Grafika, Czcionka, projekt graficzn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Grafika, Czcionka, projekt graficzny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DB70C" w14:textId="0A709BBA" w:rsidR="00E50A83" w:rsidRPr="0024560F" w:rsidRDefault="00F6760D" w:rsidP="00F676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jc w:val="center"/>
      <w:rPr>
        <w:rFonts w:ascii="Bookman Old Style" w:hAnsi="Bookman Old Style"/>
      </w:rPr>
    </w:pPr>
    <w:r>
      <w:rPr>
        <w:rFonts w:ascii="Bookman Old Style" w:hAnsi="Bookman Old Style"/>
      </w:rPr>
      <w:t>S</w:t>
    </w:r>
    <w:r w:rsidR="00E50A83">
      <w:rPr>
        <w:rFonts w:ascii="Bookman Old Style" w:hAnsi="Bookman Old Style"/>
      </w:rPr>
      <w:t>prawozdanie z realizacji</w:t>
    </w:r>
    <w:r w:rsidR="00E50A83" w:rsidRPr="0024560F">
      <w:rPr>
        <w:rFonts w:ascii="Bookman Old Style" w:hAnsi="Bookman Old Style"/>
      </w:rPr>
      <w:t xml:space="preserve"> b</w:t>
    </w:r>
    <w:r w:rsidR="00E50A83">
      <w:rPr>
        <w:rFonts w:ascii="Bookman Old Style" w:hAnsi="Bookman Old Style"/>
      </w:rPr>
      <w:t>udżetu miasta Sopotu</w:t>
    </w:r>
    <w:r>
      <w:rPr>
        <w:rFonts w:ascii="Bookman Old Style" w:hAnsi="Bookman Old Style"/>
      </w:rPr>
      <w:t xml:space="preserve"> </w:t>
    </w:r>
    <w:r w:rsidR="00E50A83">
      <w:rPr>
        <w:rFonts w:ascii="Bookman Old Style" w:hAnsi="Bookman Old Style"/>
      </w:rPr>
      <w:t>za rok 20</w:t>
    </w:r>
    <w:r w:rsidR="00200233">
      <w:rPr>
        <w:rFonts w:ascii="Bookman Old Style" w:hAnsi="Bookman Old Style"/>
      </w:rPr>
      <w:t>2</w:t>
    </w:r>
    <w:r w:rsidR="003A056D">
      <w:rPr>
        <w:rFonts w:ascii="Bookman Old Style" w:hAnsi="Bookman Old Styl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66CC243C"/>
    <w:lvl w:ilvl="0">
      <w:start w:val="1"/>
      <w:numFmt w:val="bullet"/>
      <w:pStyle w:val="Listapunktowana"/>
      <w:lvlText w:val=""/>
      <w:lvlJc w:val="left"/>
      <w:pPr>
        <w:tabs>
          <w:tab w:val="num" w:pos="1642"/>
        </w:tabs>
        <w:ind w:left="1642" w:hanging="360"/>
      </w:pPr>
      <w:rPr>
        <w:rFonts w:ascii="Symbol" w:hAnsi="Symbol" w:hint="default"/>
      </w:rPr>
    </w:lvl>
  </w:abstractNum>
  <w:abstractNum w:abstractNumId="1" w15:restartNumberingAfterBreak="0">
    <w:nsid w:val="00E75F5A"/>
    <w:multiLevelType w:val="hybridMultilevel"/>
    <w:tmpl w:val="58CC0DDA"/>
    <w:lvl w:ilvl="0" w:tplc="A296CC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3620"/>
    <w:multiLevelType w:val="hybridMultilevel"/>
    <w:tmpl w:val="6702282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AE65B05"/>
    <w:multiLevelType w:val="hybridMultilevel"/>
    <w:tmpl w:val="18606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71C"/>
    <w:multiLevelType w:val="hybridMultilevel"/>
    <w:tmpl w:val="3948C866"/>
    <w:lvl w:ilvl="0" w:tplc="31B2E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4633"/>
    <w:multiLevelType w:val="hybridMultilevel"/>
    <w:tmpl w:val="9788ADCA"/>
    <w:lvl w:ilvl="0" w:tplc="CF40735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E7608"/>
    <w:multiLevelType w:val="hybridMultilevel"/>
    <w:tmpl w:val="312A7EE2"/>
    <w:lvl w:ilvl="0" w:tplc="6548F888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F51D7"/>
    <w:multiLevelType w:val="hybridMultilevel"/>
    <w:tmpl w:val="FB9AE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3230"/>
    <w:multiLevelType w:val="hybridMultilevel"/>
    <w:tmpl w:val="4C38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E0D"/>
    <w:multiLevelType w:val="hybridMultilevel"/>
    <w:tmpl w:val="F892A26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531083B"/>
    <w:multiLevelType w:val="hybridMultilevel"/>
    <w:tmpl w:val="75A4B8B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Bookman Old Style" w:hAnsi="Bookman Old Style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AD06C4"/>
    <w:multiLevelType w:val="hybridMultilevel"/>
    <w:tmpl w:val="2730B9FE"/>
    <w:lvl w:ilvl="0" w:tplc="EFC855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EB16703"/>
    <w:multiLevelType w:val="hybridMultilevel"/>
    <w:tmpl w:val="0008690E"/>
    <w:lvl w:ilvl="0" w:tplc="5F781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4E9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B2F21"/>
    <w:multiLevelType w:val="singleLevel"/>
    <w:tmpl w:val="09BA7F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</w:abstractNum>
  <w:abstractNum w:abstractNumId="14" w15:restartNumberingAfterBreak="0">
    <w:nsid w:val="382E7B2E"/>
    <w:multiLevelType w:val="hybridMultilevel"/>
    <w:tmpl w:val="DD767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564AC"/>
    <w:multiLevelType w:val="hybridMultilevel"/>
    <w:tmpl w:val="DBE0D710"/>
    <w:lvl w:ilvl="0" w:tplc="C88E80C4">
      <w:start w:val="8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 w15:restartNumberingAfterBreak="0">
    <w:nsid w:val="432809E3"/>
    <w:multiLevelType w:val="hybridMultilevel"/>
    <w:tmpl w:val="E2D0FB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15E4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EE3302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962CF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2378EF"/>
    <w:multiLevelType w:val="hybridMultilevel"/>
    <w:tmpl w:val="4BB6D8D0"/>
    <w:lvl w:ilvl="0" w:tplc="414A0D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B9017E"/>
    <w:multiLevelType w:val="hybridMultilevel"/>
    <w:tmpl w:val="FC4ECCFC"/>
    <w:lvl w:ilvl="0" w:tplc="62CCBECA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8F6EAF"/>
    <w:multiLevelType w:val="multilevel"/>
    <w:tmpl w:val="F5AE93F4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24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14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15727C"/>
    <w:multiLevelType w:val="hybridMultilevel"/>
    <w:tmpl w:val="74823CA2"/>
    <w:lvl w:ilvl="0" w:tplc="A4D8855C">
      <w:start w:val="1"/>
      <w:numFmt w:val="decimal"/>
      <w:lvlText w:val="%1."/>
      <w:lvlJc w:val="left"/>
      <w:pPr>
        <w:ind w:left="502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A6217E"/>
    <w:multiLevelType w:val="hybridMultilevel"/>
    <w:tmpl w:val="187821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AF9143D"/>
    <w:multiLevelType w:val="hybridMultilevel"/>
    <w:tmpl w:val="FB3A6FF8"/>
    <w:lvl w:ilvl="0" w:tplc="F19446C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601A1C"/>
    <w:multiLevelType w:val="hybridMultilevel"/>
    <w:tmpl w:val="A64EA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E152E"/>
    <w:multiLevelType w:val="hybridMultilevel"/>
    <w:tmpl w:val="283C1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D2D"/>
    <w:multiLevelType w:val="hybridMultilevel"/>
    <w:tmpl w:val="A04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42322"/>
    <w:multiLevelType w:val="hybridMultilevel"/>
    <w:tmpl w:val="EC809CB2"/>
    <w:lvl w:ilvl="0" w:tplc="050AAB20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746785"/>
    <w:multiLevelType w:val="multilevel"/>
    <w:tmpl w:val="1B0A93DA"/>
    <w:lvl w:ilvl="0">
      <w:start w:val="1"/>
      <w:numFmt w:val="decimal"/>
      <w:lvlText w:val="%1."/>
      <w:lvlJc w:val="left"/>
      <w:pPr>
        <w:ind w:left="150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0" w:hanging="2160"/>
      </w:pPr>
      <w:rPr>
        <w:rFonts w:hint="default"/>
      </w:rPr>
    </w:lvl>
  </w:abstractNum>
  <w:abstractNum w:abstractNumId="31" w15:restartNumberingAfterBreak="0">
    <w:nsid w:val="74424D93"/>
    <w:multiLevelType w:val="hybridMultilevel"/>
    <w:tmpl w:val="AF644114"/>
    <w:lvl w:ilvl="0" w:tplc="843A1DF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85EAB"/>
    <w:multiLevelType w:val="hybridMultilevel"/>
    <w:tmpl w:val="9F22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65421">
    <w:abstractNumId w:val="19"/>
  </w:num>
  <w:num w:numId="2" w16cid:durableId="835152129">
    <w:abstractNumId w:val="17"/>
  </w:num>
  <w:num w:numId="3" w16cid:durableId="648747364">
    <w:abstractNumId w:val="18"/>
  </w:num>
  <w:num w:numId="4" w16cid:durableId="976957661">
    <w:abstractNumId w:val="25"/>
  </w:num>
  <w:num w:numId="5" w16cid:durableId="1569806207">
    <w:abstractNumId w:val="12"/>
  </w:num>
  <w:num w:numId="6" w16cid:durableId="2105303301">
    <w:abstractNumId w:val="13"/>
  </w:num>
  <w:num w:numId="7" w16cid:durableId="1027172338">
    <w:abstractNumId w:val="20"/>
  </w:num>
  <w:num w:numId="8" w16cid:durableId="1907838300">
    <w:abstractNumId w:val="5"/>
  </w:num>
  <w:num w:numId="9" w16cid:durableId="275210465">
    <w:abstractNumId w:val="0"/>
  </w:num>
  <w:num w:numId="10" w16cid:durableId="1687052897">
    <w:abstractNumId w:val="4"/>
  </w:num>
  <w:num w:numId="11" w16cid:durableId="863679">
    <w:abstractNumId w:val="30"/>
  </w:num>
  <w:num w:numId="12" w16cid:durableId="997421709">
    <w:abstractNumId w:val="6"/>
  </w:num>
  <w:num w:numId="13" w16cid:durableId="1307474258">
    <w:abstractNumId w:val="23"/>
  </w:num>
  <w:num w:numId="14" w16cid:durableId="268972963">
    <w:abstractNumId w:val="28"/>
  </w:num>
  <w:num w:numId="15" w16cid:durableId="757677840">
    <w:abstractNumId w:val="16"/>
  </w:num>
  <w:num w:numId="16" w16cid:durableId="480849755">
    <w:abstractNumId w:val="2"/>
  </w:num>
  <w:num w:numId="17" w16cid:durableId="2052680169">
    <w:abstractNumId w:val="26"/>
  </w:num>
  <w:num w:numId="18" w16cid:durableId="1792167513">
    <w:abstractNumId w:val="29"/>
  </w:num>
  <w:num w:numId="19" w16cid:durableId="1750271545">
    <w:abstractNumId w:val="31"/>
  </w:num>
  <w:num w:numId="20" w16cid:durableId="1726223168">
    <w:abstractNumId w:val="8"/>
  </w:num>
  <w:num w:numId="21" w16cid:durableId="1123766415">
    <w:abstractNumId w:val="9"/>
  </w:num>
  <w:num w:numId="22" w16cid:durableId="984774956">
    <w:abstractNumId w:val="11"/>
  </w:num>
  <w:num w:numId="23" w16cid:durableId="1644651926">
    <w:abstractNumId w:val="1"/>
  </w:num>
  <w:num w:numId="24" w16cid:durableId="2063366841">
    <w:abstractNumId w:val="22"/>
  </w:num>
  <w:num w:numId="25" w16cid:durableId="1552886774">
    <w:abstractNumId w:val="7"/>
  </w:num>
  <w:num w:numId="26" w16cid:durableId="1248422813">
    <w:abstractNumId w:val="24"/>
  </w:num>
  <w:num w:numId="27" w16cid:durableId="1032804154">
    <w:abstractNumId w:val="14"/>
  </w:num>
  <w:num w:numId="28" w16cid:durableId="181164443">
    <w:abstractNumId w:val="15"/>
  </w:num>
  <w:num w:numId="29" w16cid:durableId="1516766453">
    <w:abstractNumId w:val="27"/>
  </w:num>
  <w:num w:numId="30" w16cid:durableId="1632250884">
    <w:abstractNumId w:val="10"/>
  </w:num>
  <w:num w:numId="31" w16cid:durableId="379012295">
    <w:abstractNumId w:val="32"/>
  </w:num>
  <w:num w:numId="32" w16cid:durableId="5566244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625735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F5"/>
    <w:rsid w:val="0000077E"/>
    <w:rsid w:val="00000830"/>
    <w:rsid w:val="00001157"/>
    <w:rsid w:val="00001D5C"/>
    <w:rsid w:val="00001D7E"/>
    <w:rsid w:val="00004339"/>
    <w:rsid w:val="00004776"/>
    <w:rsid w:val="00004809"/>
    <w:rsid w:val="00004947"/>
    <w:rsid w:val="00004AB3"/>
    <w:rsid w:val="00005B2E"/>
    <w:rsid w:val="000064A9"/>
    <w:rsid w:val="00006C4C"/>
    <w:rsid w:val="0000702F"/>
    <w:rsid w:val="0000734D"/>
    <w:rsid w:val="00007887"/>
    <w:rsid w:val="000101AD"/>
    <w:rsid w:val="0001023E"/>
    <w:rsid w:val="000102FC"/>
    <w:rsid w:val="000106FF"/>
    <w:rsid w:val="00010864"/>
    <w:rsid w:val="000117B1"/>
    <w:rsid w:val="00012325"/>
    <w:rsid w:val="000127C8"/>
    <w:rsid w:val="0001289A"/>
    <w:rsid w:val="000129F1"/>
    <w:rsid w:val="00012DA6"/>
    <w:rsid w:val="000135FA"/>
    <w:rsid w:val="00013785"/>
    <w:rsid w:val="00013844"/>
    <w:rsid w:val="00013BD6"/>
    <w:rsid w:val="00013F33"/>
    <w:rsid w:val="0001412A"/>
    <w:rsid w:val="00014176"/>
    <w:rsid w:val="00014DDC"/>
    <w:rsid w:val="00014EE4"/>
    <w:rsid w:val="000153B5"/>
    <w:rsid w:val="000156E6"/>
    <w:rsid w:val="00015B37"/>
    <w:rsid w:val="00015C98"/>
    <w:rsid w:val="000165A3"/>
    <w:rsid w:val="00017118"/>
    <w:rsid w:val="00017D65"/>
    <w:rsid w:val="00017E54"/>
    <w:rsid w:val="000201CF"/>
    <w:rsid w:val="00020414"/>
    <w:rsid w:val="00020596"/>
    <w:rsid w:val="00020C27"/>
    <w:rsid w:val="000210C9"/>
    <w:rsid w:val="00021188"/>
    <w:rsid w:val="00021695"/>
    <w:rsid w:val="000218B3"/>
    <w:rsid w:val="000220D0"/>
    <w:rsid w:val="00022848"/>
    <w:rsid w:val="00022984"/>
    <w:rsid w:val="0002347F"/>
    <w:rsid w:val="000236C9"/>
    <w:rsid w:val="00023B3E"/>
    <w:rsid w:val="00023F94"/>
    <w:rsid w:val="0002473C"/>
    <w:rsid w:val="00024C11"/>
    <w:rsid w:val="00024C27"/>
    <w:rsid w:val="00024E7F"/>
    <w:rsid w:val="0002514D"/>
    <w:rsid w:val="00026335"/>
    <w:rsid w:val="00026D9A"/>
    <w:rsid w:val="00026F2E"/>
    <w:rsid w:val="00027868"/>
    <w:rsid w:val="00027DFE"/>
    <w:rsid w:val="00030029"/>
    <w:rsid w:val="000304C7"/>
    <w:rsid w:val="00030BC2"/>
    <w:rsid w:val="00030BCC"/>
    <w:rsid w:val="00030CBC"/>
    <w:rsid w:val="00030FB1"/>
    <w:rsid w:val="0003104E"/>
    <w:rsid w:val="0003131B"/>
    <w:rsid w:val="0003326B"/>
    <w:rsid w:val="0003351A"/>
    <w:rsid w:val="00033A23"/>
    <w:rsid w:val="00033F97"/>
    <w:rsid w:val="0003417E"/>
    <w:rsid w:val="00035225"/>
    <w:rsid w:val="0003542F"/>
    <w:rsid w:val="00035ACC"/>
    <w:rsid w:val="00035FB8"/>
    <w:rsid w:val="000360F9"/>
    <w:rsid w:val="00036624"/>
    <w:rsid w:val="0003672B"/>
    <w:rsid w:val="0003698E"/>
    <w:rsid w:val="00036EF1"/>
    <w:rsid w:val="00037267"/>
    <w:rsid w:val="000375CF"/>
    <w:rsid w:val="00037B9C"/>
    <w:rsid w:val="00037E64"/>
    <w:rsid w:val="000409F8"/>
    <w:rsid w:val="00040E50"/>
    <w:rsid w:val="00040F4B"/>
    <w:rsid w:val="000412E7"/>
    <w:rsid w:val="00041A7F"/>
    <w:rsid w:val="00042611"/>
    <w:rsid w:val="000427C4"/>
    <w:rsid w:val="00042911"/>
    <w:rsid w:val="00042CB0"/>
    <w:rsid w:val="00042F6E"/>
    <w:rsid w:val="00043C34"/>
    <w:rsid w:val="000449B3"/>
    <w:rsid w:val="000449C7"/>
    <w:rsid w:val="0004567D"/>
    <w:rsid w:val="00045862"/>
    <w:rsid w:val="00045F9E"/>
    <w:rsid w:val="000466D4"/>
    <w:rsid w:val="00046DF6"/>
    <w:rsid w:val="00047403"/>
    <w:rsid w:val="00047DBF"/>
    <w:rsid w:val="00050B20"/>
    <w:rsid w:val="000510BA"/>
    <w:rsid w:val="0005137E"/>
    <w:rsid w:val="000513BD"/>
    <w:rsid w:val="0005159C"/>
    <w:rsid w:val="000515CA"/>
    <w:rsid w:val="00052003"/>
    <w:rsid w:val="00052119"/>
    <w:rsid w:val="0005247C"/>
    <w:rsid w:val="00052C02"/>
    <w:rsid w:val="00052C36"/>
    <w:rsid w:val="000539B6"/>
    <w:rsid w:val="000541EE"/>
    <w:rsid w:val="000548E2"/>
    <w:rsid w:val="0005530A"/>
    <w:rsid w:val="00055560"/>
    <w:rsid w:val="0005609D"/>
    <w:rsid w:val="00056ADD"/>
    <w:rsid w:val="00056DA0"/>
    <w:rsid w:val="000571DD"/>
    <w:rsid w:val="000571E5"/>
    <w:rsid w:val="000572AC"/>
    <w:rsid w:val="00057A0E"/>
    <w:rsid w:val="00057DDE"/>
    <w:rsid w:val="00060097"/>
    <w:rsid w:val="00060583"/>
    <w:rsid w:val="00060762"/>
    <w:rsid w:val="000607FF"/>
    <w:rsid w:val="000609A5"/>
    <w:rsid w:val="000609E7"/>
    <w:rsid w:val="000614EB"/>
    <w:rsid w:val="0006176B"/>
    <w:rsid w:val="00061965"/>
    <w:rsid w:val="00061FA8"/>
    <w:rsid w:val="00062055"/>
    <w:rsid w:val="00062563"/>
    <w:rsid w:val="00062663"/>
    <w:rsid w:val="00062CDE"/>
    <w:rsid w:val="00063282"/>
    <w:rsid w:val="0006379E"/>
    <w:rsid w:val="00063854"/>
    <w:rsid w:val="00064433"/>
    <w:rsid w:val="00064833"/>
    <w:rsid w:val="00064C3F"/>
    <w:rsid w:val="00064CD4"/>
    <w:rsid w:val="000661C7"/>
    <w:rsid w:val="00066253"/>
    <w:rsid w:val="00066601"/>
    <w:rsid w:val="00066698"/>
    <w:rsid w:val="0006676C"/>
    <w:rsid w:val="00066796"/>
    <w:rsid w:val="00066EA6"/>
    <w:rsid w:val="00066EB8"/>
    <w:rsid w:val="00067B08"/>
    <w:rsid w:val="000701D4"/>
    <w:rsid w:val="00070846"/>
    <w:rsid w:val="0007089A"/>
    <w:rsid w:val="00070D2A"/>
    <w:rsid w:val="00070F86"/>
    <w:rsid w:val="00071AFA"/>
    <w:rsid w:val="00071E07"/>
    <w:rsid w:val="000726FA"/>
    <w:rsid w:val="00072A87"/>
    <w:rsid w:val="00073AF5"/>
    <w:rsid w:val="00073D39"/>
    <w:rsid w:val="00073DD2"/>
    <w:rsid w:val="00073E10"/>
    <w:rsid w:val="00074143"/>
    <w:rsid w:val="00074487"/>
    <w:rsid w:val="000749A3"/>
    <w:rsid w:val="00074CAD"/>
    <w:rsid w:val="00074FFE"/>
    <w:rsid w:val="000750F7"/>
    <w:rsid w:val="00075154"/>
    <w:rsid w:val="00075732"/>
    <w:rsid w:val="00076859"/>
    <w:rsid w:val="00076D66"/>
    <w:rsid w:val="00077BC4"/>
    <w:rsid w:val="00077BF2"/>
    <w:rsid w:val="00080B6C"/>
    <w:rsid w:val="00080FDA"/>
    <w:rsid w:val="00081069"/>
    <w:rsid w:val="000816FA"/>
    <w:rsid w:val="00081D0F"/>
    <w:rsid w:val="00081D4B"/>
    <w:rsid w:val="000822A1"/>
    <w:rsid w:val="000830D2"/>
    <w:rsid w:val="00083742"/>
    <w:rsid w:val="0008384A"/>
    <w:rsid w:val="00084467"/>
    <w:rsid w:val="000849BD"/>
    <w:rsid w:val="00084CD7"/>
    <w:rsid w:val="00084D0B"/>
    <w:rsid w:val="000854B3"/>
    <w:rsid w:val="000854D5"/>
    <w:rsid w:val="000866F3"/>
    <w:rsid w:val="00086B43"/>
    <w:rsid w:val="00086C26"/>
    <w:rsid w:val="00090F96"/>
    <w:rsid w:val="000912DB"/>
    <w:rsid w:val="0009161A"/>
    <w:rsid w:val="00091960"/>
    <w:rsid w:val="0009198A"/>
    <w:rsid w:val="00091F1C"/>
    <w:rsid w:val="00091F6C"/>
    <w:rsid w:val="00092467"/>
    <w:rsid w:val="0009274B"/>
    <w:rsid w:val="000929BB"/>
    <w:rsid w:val="00092BDD"/>
    <w:rsid w:val="0009357E"/>
    <w:rsid w:val="00093674"/>
    <w:rsid w:val="00093EE7"/>
    <w:rsid w:val="00094830"/>
    <w:rsid w:val="00094C25"/>
    <w:rsid w:val="000953C6"/>
    <w:rsid w:val="000956D8"/>
    <w:rsid w:val="00095D82"/>
    <w:rsid w:val="000A02BF"/>
    <w:rsid w:val="000A0904"/>
    <w:rsid w:val="000A09D4"/>
    <w:rsid w:val="000A0A78"/>
    <w:rsid w:val="000A1B9E"/>
    <w:rsid w:val="000A1F49"/>
    <w:rsid w:val="000A214A"/>
    <w:rsid w:val="000A30CD"/>
    <w:rsid w:val="000A3A3B"/>
    <w:rsid w:val="000A3C98"/>
    <w:rsid w:val="000A3DA5"/>
    <w:rsid w:val="000A42CB"/>
    <w:rsid w:val="000A5902"/>
    <w:rsid w:val="000A5D7D"/>
    <w:rsid w:val="000A67A6"/>
    <w:rsid w:val="000A6E01"/>
    <w:rsid w:val="000A7D9B"/>
    <w:rsid w:val="000B035A"/>
    <w:rsid w:val="000B06A1"/>
    <w:rsid w:val="000B1C25"/>
    <w:rsid w:val="000B1E92"/>
    <w:rsid w:val="000B1FBE"/>
    <w:rsid w:val="000B2409"/>
    <w:rsid w:val="000B37ED"/>
    <w:rsid w:val="000B4054"/>
    <w:rsid w:val="000B4497"/>
    <w:rsid w:val="000B4845"/>
    <w:rsid w:val="000B4931"/>
    <w:rsid w:val="000B4B9E"/>
    <w:rsid w:val="000B4DD1"/>
    <w:rsid w:val="000B5474"/>
    <w:rsid w:val="000B5A14"/>
    <w:rsid w:val="000B670B"/>
    <w:rsid w:val="000B67B9"/>
    <w:rsid w:val="000B685C"/>
    <w:rsid w:val="000B69D8"/>
    <w:rsid w:val="000B7CFA"/>
    <w:rsid w:val="000C0738"/>
    <w:rsid w:val="000C2C97"/>
    <w:rsid w:val="000C32D2"/>
    <w:rsid w:val="000C33E9"/>
    <w:rsid w:val="000C36E2"/>
    <w:rsid w:val="000C54BC"/>
    <w:rsid w:val="000C5A31"/>
    <w:rsid w:val="000C63F8"/>
    <w:rsid w:val="000C6475"/>
    <w:rsid w:val="000C696C"/>
    <w:rsid w:val="000C6A9D"/>
    <w:rsid w:val="000C6B27"/>
    <w:rsid w:val="000C6B8F"/>
    <w:rsid w:val="000C6D41"/>
    <w:rsid w:val="000C6E4C"/>
    <w:rsid w:val="000C724E"/>
    <w:rsid w:val="000C72F8"/>
    <w:rsid w:val="000C73BD"/>
    <w:rsid w:val="000C783F"/>
    <w:rsid w:val="000D0347"/>
    <w:rsid w:val="000D0ADE"/>
    <w:rsid w:val="000D1BEE"/>
    <w:rsid w:val="000D2354"/>
    <w:rsid w:val="000D24EE"/>
    <w:rsid w:val="000D2BB6"/>
    <w:rsid w:val="000D3364"/>
    <w:rsid w:val="000D3646"/>
    <w:rsid w:val="000D3A18"/>
    <w:rsid w:val="000D4E6F"/>
    <w:rsid w:val="000D4FF7"/>
    <w:rsid w:val="000D5162"/>
    <w:rsid w:val="000D6C86"/>
    <w:rsid w:val="000D7A81"/>
    <w:rsid w:val="000E0232"/>
    <w:rsid w:val="000E025B"/>
    <w:rsid w:val="000E0B5B"/>
    <w:rsid w:val="000E0C1C"/>
    <w:rsid w:val="000E16E2"/>
    <w:rsid w:val="000E1834"/>
    <w:rsid w:val="000E2482"/>
    <w:rsid w:val="000E2549"/>
    <w:rsid w:val="000E289C"/>
    <w:rsid w:val="000E2B81"/>
    <w:rsid w:val="000E2F23"/>
    <w:rsid w:val="000E3455"/>
    <w:rsid w:val="000E3E8E"/>
    <w:rsid w:val="000E4205"/>
    <w:rsid w:val="000E4589"/>
    <w:rsid w:val="000E5555"/>
    <w:rsid w:val="000E5B98"/>
    <w:rsid w:val="000E637F"/>
    <w:rsid w:val="000E664E"/>
    <w:rsid w:val="000E6A03"/>
    <w:rsid w:val="000E6E76"/>
    <w:rsid w:val="000E7474"/>
    <w:rsid w:val="000E7617"/>
    <w:rsid w:val="000E7A19"/>
    <w:rsid w:val="000F0D12"/>
    <w:rsid w:val="000F14C5"/>
    <w:rsid w:val="000F1BD0"/>
    <w:rsid w:val="000F1DD1"/>
    <w:rsid w:val="000F2329"/>
    <w:rsid w:val="000F24F8"/>
    <w:rsid w:val="000F2A96"/>
    <w:rsid w:val="000F2F80"/>
    <w:rsid w:val="000F44E6"/>
    <w:rsid w:val="000F4928"/>
    <w:rsid w:val="000F5412"/>
    <w:rsid w:val="000F5ACF"/>
    <w:rsid w:val="000F6097"/>
    <w:rsid w:val="000F7F31"/>
    <w:rsid w:val="00100460"/>
    <w:rsid w:val="0010055B"/>
    <w:rsid w:val="00100869"/>
    <w:rsid w:val="00100B47"/>
    <w:rsid w:val="0010138D"/>
    <w:rsid w:val="0010161E"/>
    <w:rsid w:val="0010197D"/>
    <w:rsid w:val="00101A2B"/>
    <w:rsid w:val="00101B0A"/>
    <w:rsid w:val="00102A31"/>
    <w:rsid w:val="00102B88"/>
    <w:rsid w:val="00103080"/>
    <w:rsid w:val="00103A3A"/>
    <w:rsid w:val="00103A97"/>
    <w:rsid w:val="00103EB7"/>
    <w:rsid w:val="001041DB"/>
    <w:rsid w:val="00104569"/>
    <w:rsid w:val="00104826"/>
    <w:rsid w:val="00104B4F"/>
    <w:rsid w:val="00104DD2"/>
    <w:rsid w:val="00104F75"/>
    <w:rsid w:val="00105A85"/>
    <w:rsid w:val="00105B23"/>
    <w:rsid w:val="00106677"/>
    <w:rsid w:val="001068F9"/>
    <w:rsid w:val="0010724A"/>
    <w:rsid w:val="001072EF"/>
    <w:rsid w:val="00107CB0"/>
    <w:rsid w:val="001104BE"/>
    <w:rsid w:val="001104C8"/>
    <w:rsid w:val="00110BCE"/>
    <w:rsid w:val="001112A2"/>
    <w:rsid w:val="00111691"/>
    <w:rsid w:val="00112A33"/>
    <w:rsid w:val="00112ADC"/>
    <w:rsid w:val="00112E18"/>
    <w:rsid w:val="00112FB1"/>
    <w:rsid w:val="00113B90"/>
    <w:rsid w:val="00113E61"/>
    <w:rsid w:val="0011404E"/>
    <w:rsid w:val="00114B54"/>
    <w:rsid w:val="00114BD2"/>
    <w:rsid w:val="00115752"/>
    <w:rsid w:val="00115C40"/>
    <w:rsid w:val="00116899"/>
    <w:rsid w:val="00116AB8"/>
    <w:rsid w:val="00116B04"/>
    <w:rsid w:val="00116D2D"/>
    <w:rsid w:val="0011722E"/>
    <w:rsid w:val="001173E4"/>
    <w:rsid w:val="00117C7B"/>
    <w:rsid w:val="00117DD6"/>
    <w:rsid w:val="00120779"/>
    <w:rsid w:val="00121301"/>
    <w:rsid w:val="00121833"/>
    <w:rsid w:val="00121B5A"/>
    <w:rsid w:val="00121BE7"/>
    <w:rsid w:val="00121F57"/>
    <w:rsid w:val="00122249"/>
    <w:rsid w:val="00122586"/>
    <w:rsid w:val="00122A9E"/>
    <w:rsid w:val="00123401"/>
    <w:rsid w:val="001240FF"/>
    <w:rsid w:val="00124A3C"/>
    <w:rsid w:val="00124A72"/>
    <w:rsid w:val="0012647C"/>
    <w:rsid w:val="00126638"/>
    <w:rsid w:val="00127D6F"/>
    <w:rsid w:val="00127EDA"/>
    <w:rsid w:val="00127F55"/>
    <w:rsid w:val="00130E77"/>
    <w:rsid w:val="0013162C"/>
    <w:rsid w:val="00132CBD"/>
    <w:rsid w:val="00132E3D"/>
    <w:rsid w:val="0013393B"/>
    <w:rsid w:val="00133AA9"/>
    <w:rsid w:val="00133C07"/>
    <w:rsid w:val="00134716"/>
    <w:rsid w:val="001347A9"/>
    <w:rsid w:val="00134801"/>
    <w:rsid w:val="00135C15"/>
    <w:rsid w:val="0013659D"/>
    <w:rsid w:val="00136DDD"/>
    <w:rsid w:val="00136E49"/>
    <w:rsid w:val="00137EDD"/>
    <w:rsid w:val="00137F47"/>
    <w:rsid w:val="00137F48"/>
    <w:rsid w:val="001418D3"/>
    <w:rsid w:val="00141C21"/>
    <w:rsid w:val="00142182"/>
    <w:rsid w:val="001422B0"/>
    <w:rsid w:val="001432C8"/>
    <w:rsid w:val="00143A35"/>
    <w:rsid w:val="00143F9A"/>
    <w:rsid w:val="00145020"/>
    <w:rsid w:val="001466D0"/>
    <w:rsid w:val="0014743A"/>
    <w:rsid w:val="00147E1D"/>
    <w:rsid w:val="00150327"/>
    <w:rsid w:val="0015044B"/>
    <w:rsid w:val="0015052A"/>
    <w:rsid w:val="00150982"/>
    <w:rsid w:val="00150E9C"/>
    <w:rsid w:val="001512E9"/>
    <w:rsid w:val="001518CB"/>
    <w:rsid w:val="00151DA6"/>
    <w:rsid w:val="00151F86"/>
    <w:rsid w:val="0015202E"/>
    <w:rsid w:val="0015222D"/>
    <w:rsid w:val="0015263A"/>
    <w:rsid w:val="00152A31"/>
    <w:rsid w:val="00152EF7"/>
    <w:rsid w:val="00153564"/>
    <w:rsid w:val="00153CCB"/>
    <w:rsid w:val="00154266"/>
    <w:rsid w:val="0015505A"/>
    <w:rsid w:val="001552E4"/>
    <w:rsid w:val="00155323"/>
    <w:rsid w:val="0015617C"/>
    <w:rsid w:val="001563AA"/>
    <w:rsid w:val="00156FD8"/>
    <w:rsid w:val="00157480"/>
    <w:rsid w:val="00160A0B"/>
    <w:rsid w:val="00160E99"/>
    <w:rsid w:val="00161A21"/>
    <w:rsid w:val="00161A46"/>
    <w:rsid w:val="001625DB"/>
    <w:rsid w:val="0016275A"/>
    <w:rsid w:val="00162FF4"/>
    <w:rsid w:val="0016306E"/>
    <w:rsid w:val="0016326A"/>
    <w:rsid w:val="001649FF"/>
    <w:rsid w:val="001653FA"/>
    <w:rsid w:val="00165895"/>
    <w:rsid w:val="00166282"/>
    <w:rsid w:val="001663B5"/>
    <w:rsid w:val="00166A78"/>
    <w:rsid w:val="00166D86"/>
    <w:rsid w:val="00167101"/>
    <w:rsid w:val="001679EA"/>
    <w:rsid w:val="00167A37"/>
    <w:rsid w:val="00170794"/>
    <w:rsid w:val="00170825"/>
    <w:rsid w:val="00171203"/>
    <w:rsid w:val="001718E4"/>
    <w:rsid w:val="00171C27"/>
    <w:rsid w:val="00172006"/>
    <w:rsid w:val="001728F9"/>
    <w:rsid w:val="00172C3E"/>
    <w:rsid w:val="00173482"/>
    <w:rsid w:val="00173E28"/>
    <w:rsid w:val="001768F1"/>
    <w:rsid w:val="001774D7"/>
    <w:rsid w:val="0017755B"/>
    <w:rsid w:val="00177692"/>
    <w:rsid w:val="00177A79"/>
    <w:rsid w:val="0018122E"/>
    <w:rsid w:val="00181410"/>
    <w:rsid w:val="0018163D"/>
    <w:rsid w:val="00181A59"/>
    <w:rsid w:val="00183686"/>
    <w:rsid w:val="001841FC"/>
    <w:rsid w:val="0018541C"/>
    <w:rsid w:val="00185487"/>
    <w:rsid w:val="00185493"/>
    <w:rsid w:val="00185E39"/>
    <w:rsid w:val="00185F71"/>
    <w:rsid w:val="00186E4C"/>
    <w:rsid w:val="00187134"/>
    <w:rsid w:val="001875AC"/>
    <w:rsid w:val="00187D06"/>
    <w:rsid w:val="00187D4F"/>
    <w:rsid w:val="00187E92"/>
    <w:rsid w:val="001902B8"/>
    <w:rsid w:val="00190360"/>
    <w:rsid w:val="00190F2E"/>
    <w:rsid w:val="00191124"/>
    <w:rsid w:val="00191AFA"/>
    <w:rsid w:val="00191BBE"/>
    <w:rsid w:val="00191C8E"/>
    <w:rsid w:val="00191D61"/>
    <w:rsid w:val="00191F34"/>
    <w:rsid w:val="00192788"/>
    <w:rsid w:val="00192A65"/>
    <w:rsid w:val="00192C83"/>
    <w:rsid w:val="0019374B"/>
    <w:rsid w:val="00193EA0"/>
    <w:rsid w:val="00193EBD"/>
    <w:rsid w:val="001940AD"/>
    <w:rsid w:val="0019412D"/>
    <w:rsid w:val="0019488C"/>
    <w:rsid w:val="00194B2D"/>
    <w:rsid w:val="00194BF5"/>
    <w:rsid w:val="00194FC0"/>
    <w:rsid w:val="00195232"/>
    <w:rsid w:val="001952A0"/>
    <w:rsid w:val="001955C6"/>
    <w:rsid w:val="001957D5"/>
    <w:rsid w:val="00195D63"/>
    <w:rsid w:val="0019645E"/>
    <w:rsid w:val="0019664A"/>
    <w:rsid w:val="00196A4A"/>
    <w:rsid w:val="00196D62"/>
    <w:rsid w:val="00196EC8"/>
    <w:rsid w:val="00197895"/>
    <w:rsid w:val="00197BDA"/>
    <w:rsid w:val="00197BE6"/>
    <w:rsid w:val="00197C1D"/>
    <w:rsid w:val="001A0100"/>
    <w:rsid w:val="001A0302"/>
    <w:rsid w:val="001A1C97"/>
    <w:rsid w:val="001A36D5"/>
    <w:rsid w:val="001A39EC"/>
    <w:rsid w:val="001A3E36"/>
    <w:rsid w:val="001A3EC8"/>
    <w:rsid w:val="001A43D1"/>
    <w:rsid w:val="001A4F9C"/>
    <w:rsid w:val="001A4FD9"/>
    <w:rsid w:val="001A50C8"/>
    <w:rsid w:val="001A5ED5"/>
    <w:rsid w:val="001A758A"/>
    <w:rsid w:val="001B0170"/>
    <w:rsid w:val="001B1A63"/>
    <w:rsid w:val="001B1E7C"/>
    <w:rsid w:val="001B2A53"/>
    <w:rsid w:val="001B2F17"/>
    <w:rsid w:val="001B3E85"/>
    <w:rsid w:val="001B40D7"/>
    <w:rsid w:val="001B4555"/>
    <w:rsid w:val="001B52E8"/>
    <w:rsid w:val="001B5EE3"/>
    <w:rsid w:val="001B61B5"/>
    <w:rsid w:val="001B7627"/>
    <w:rsid w:val="001B7922"/>
    <w:rsid w:val="001C01FF"/>
    <w:rsid w:val="001C078A"/>
    <w:rsid w:val="001C097F"/>
    <w:rsid w:val="001C0C05"/>
    <w:rsid w:val="001C0CCD"/>
    <w:rsid w:val="001C1D8A"/>
    <w:rsid w:val="001C2298"/>
    <w:rsid w:val="001C25C0"/>
    <w:rsid w:val="001C2609"/>
    <w:rsid w:val="001C27BF"/>
    <w:rsid w:val="001C2AD3"/>
    <w:rsid w:val="001C316B"/>
    <w:rsid w:val="001C3A6E"/>
    <w:rsid w:val="001C3DB0"/>
    <w:rsid w:val="001C40A5"/>
    <w:rsid w:val="001C4B26"/>
    <w:rsid w:val="001C564C"/>
    <w:rsid w:val="001C5759"/>
    <w:rsid w:val="001C603E"/>
    <w:rsid w:val="001C69D1"/>
    <w:rsid w:val="001C6FD8"/>
    <w:rsid w:val="001C6FFE"/>
    <w:rsid w:val="001C7164"/>
    <w:rsid w:val="001C7E19"/>
    <w:rsid w:val="001D0083"/>
    <w:rsid w:val="001D1443"/>
    <w:rsid w:val="001D189B"/>
    <w:rsid w:val="001D20A2"/>
    <w:rsid w:val="001D20DB"/>
    <w:rsid w:val="001D27A5"/>
    <w:rsid w:val="001D2BEB"/>
    <w:rsid w:val="001D2ED7"/>
    <w:rsid w:val="001D2FCF"/>
    <w:rsid w:val="001D3025"/>
    <w:rsid w:val="001D3351"/>
    <w:rsid w:val="001D369F"/>
    <w:rsid w:val="001D36AF"/>
    <w:rsid w:val="001D39A4"/>
    <w:rsid w:val="001D3AD4"/>
    <w:rsid w:val="001D410A"/>
    <w:rsid w:val="001D4232"/>
    <w:rsid w:val="001D4A3E"/>
    <w:rsid w:val="001D4B16"/>
    <w:rsid w:val="001D5014"/>
    <w:rsid w:val="001D5EC5"/>
    <w:rsid w:val="001D6050"/>
    <w:rsid w:val="001D6165"/>
    <w:rsid w:val="001D663C"/>
    <w:rsid w:val="001D6D66"/>
    <w:rsid w:val="001D70FA"/>
    <w:rsid w:val="001E03AF"/>
    <w:rsid w:val="001E0759"/>
    <w:rsid w:val="001E0A2D"/>
    <w:rsid w:val="001E0D2E"/>
    <w:rsid w:val="001E13CB"/>
    <w:rsid w:val="001E159D"/>
    <w:rsid w:val="001E1969"/>
    <w:rsid w:val="001E1E28"/>
    <w:rsid w:val="001E2011"/>
    <w:rsid w:val="001E2967"/>
    <w:rsid w:val="001E3316"/>
    <w:rsid w:val="001E36CB"/>
    <w:rsid w:val="001E3DB1"/>
    <w:rsid w:val="001E3E59"/>
    <w:rsid w:val="001E5516"/>
    <w:rsid w:val="001E5CBD"/>
    <w:rsid w:val="001E6396"/>
    <w:rsid w:val="001E6A71"/>
    <w:rsid w:val="001E6B17"/>
    <w:rsid w:val="001E73D0"/>
    <w:rsid w:val="001E75D8"/>
    <w:rsid w:val="001E7CE2"/>
    <w:rsid w:val="001E7E81"/>
    <w:rsid w:val="001F1088"/>
    <w:rsid w:val="001F1811"/>
    <w:rsid w:val="001F2909"/>
    <w:rsid w:val="001F2A9E"/>
    <w:rsid w:val="001F3287"/>
    <w:rsid w:val="001F35B0"/>
    <w:rsid w:val="001F37C0"/>
    <w:rsid w:val="001F3A0D"/>
    <w:rsid w:val="001F3B05"/>
    <w:rsid w:val="001F3FC6"/>
    <w:rsid w:val="001F51A6"/>
    <w:rsid w:val="001F532E"/>
    <w:rsid w:val="001F6063"/>
    <w:rsid w:val="001F6B22"/>
    <w:rsid w:val="001F6F8C"/>
    <w:rsid w:val="001F7DF7"/>
    <w:rsid w:val="00200233"/>
    <w:rsid w:val="0020036B"/>
    <w:rsid w:val="002009A6"/>
    <w:rsid w:val="00200D10"/>
    <w:rsid w:val="00200E21"/>
    <w:rsid w:val="00200F76"/>
    <w:rsid w:val="00201369"/>
    <w:rsid w:val="00201914"/>
    <w:rsid w:val="00202087"/>
    <w:rsid w:val="002028FA"/>
    <w:rsid w:val="0020347F"/>
    <w:rsid w:val="00203A06"/>
    <w:rsid w:val="00203CB9"/>
    <w:rsid w:val="00204444"/>
    <w:rsid w:val="00204E6F"/>
    <w:rsid w:val="00204F26"/>
    <w:rsid w:val="0020602A"/>
    <w:rsid w:val="002061B8"/>
    <w:rsid w:val="002063A2"/>
    <w:rsid w:val="002068BC"/>
    <w:rsid w:val="002068E2"/>
    <w:rsid w:val="0020692D"/>
    <w:rsid w:val="00206C09"/>
    <w:rsid w:val="00206E29"/>
    <w:rsid w:val="00207BC4"/>
    <w:rsid w:val="00207F64"/>
    <w:rsid w:val="002100FF"/>
    <w:rsid w:val="00210427"/>
    <w:rsid w:val="002104AF"/>
    <w:rsid w:val="0021056A"/>
    <w:rsid w:val="00210DE3"/>
    <w:rsid w:val="0021139A"/>
    <w:rsid w:val="002113B0"/>
    <w:rsid w:val="002124C5"/>
    <w:rsid w:val="00212F03"/>
    <w:rsid w:val="00213181"/>
    <w:rsid w:val="00213690"/>
    <w:rsid w:val="00213E74"/>
    <w:rsid w:val="00215BD8"/>
    <w:rsid w:val="002168BA"/>
    <w:rsid w:val="0021736C"/>
    <w:rsid w:val="00217602"/>
    <w:rsid w:val="002176CF"/>
    <w:rsid w:val="002177CC"/>
    <w:rsid w:val="00217943"/>
    <w:rsid w:val="00217EC3"/>
    <w:rsid w:val="00220970"/>
    <w:rsid w:val="00221479"/>
    <w:rsid w:val="002217FB"/>
    <w:rsid w:val="00221F4E"/>
    <w:rsid w:val="0022200D"/>
    <w:rsid w:val="002225CB"/>
    <w:rsid w:val="00222BA8"/>
    <w:rsid w:val="00223096"/>
    <w:rsid w:val="002230B4"/>
    <w:rsid w:val="00223A06"/>
    <w:rsid w:val="00223B83"/>
    <w:rsid w:val="00224B3B"/>
    <w:rsid w:val="00224E24"/>
    <w:rsid w:val="00225E51"/>
    <w:rsid w:val="00226307"/>
    <w:rsid w:val="00226B51"/>
    <w:rsid w:val="00226BD5"/>
    <w:rsid w:val="00226E6C"/>
    <w:rsid w:val="00226EA1"/>
    <w:rsid w:val="0022750A"/>
    <w:rsid w:val="002279B1"/>
    <w:rsid w:val="00230B50"/>
    <w:rsid w:val="002312EE"/>
    <w:rsid w:val="00231AAB"/>
    <w:rsid w:val="00231EED"/>
    <w:rsid w:val="002325A0"/>
    <w:rsid w:val="00232C1D"/>
    <w:rsid w:val="00232E7F"/>
    <w:rsid w:val="00232EA5"/>
    <w:rsid w:val="002334CC"/>
    <w:rsid w:val="0023373E"/>
    <w:rsid w:val="0023375D"/>
    <w:rsid w:val="002347B0"/>
    <w:rsid w:val="00234B9F"/>
    <w:rsid w:val="00234FCB"/>
    <w:rsid w:val="00235629"/>
    <w:rsid w:val="00235A02"/>
    <w:rsid w:val="00236869"/>
    <w:rsid w:val="0023686C"/>
    <w:rsid w:val="00236EA1"/>
    <w:rsid w:val="00237539"/>
    <w:rsid w:val="002403F9"/>
    <w:rsid w:val="00240792"/>
    <w:rsid w:val="0024128B"/>
    <w:rsid w:val="00241787"/>
    <w:rsid w:val="00241887"/>
    <w:rsid w:val="00241D8D"/>
    <w:rsid w:val="00242179"/>
    <w:rsid w:val="00242330"/>
    <w:rsid w:val="00243EDB"/>
    <w:rsid w:val="00244849"/>
    <w:rsid w:val="002451AB"/>
    <w:rsid w:val="0024560F"/>
    <w:rsid w:val="002458E3"/>
    <w:rsid w:val="002460BC"/>
    <w:rsid w:val="002463C0"/>
    <w:rsid w:val="00246682"/>
    <w:rsid w:val="002466A6"/>
    <w:rsid w:val="002466E4"/>
    <w:rsid w:val="00246EAD"/>
    <w:rsid w:val="0025020D"/>
    <w:rsid w:val="00250401"/>
    <w:rsid w:val="0025051C"/>
    <w:rsid w:val="002506B2"/>
    <w:rsid w:val="002509E8"/>
    <w:rsid w:val="0025156A"/>
    <w:rsid w:val="00251F8C"/>
    <w:rsid w:val="00252504"/>
    <w:rsid w:val="0025298E"/>
    <w:rsid w:val="00252AFA"/>
    <w:rsid w:val="00252C92"/>
    <w:rsid w:val="00253B30"/>
    <w:rsid w:val="0025432B"/>
    <w:rsid w:val="00254900"/>
    <w:rsid w:val="00254C0D"/>
    <w:rsid w:val="00255166"/>
    <w:rsid w:val="00255416"/>
    <w:rsid w:val="00255B70"/>
    <w:rsid w:val="00257AAF"/>
    <w:rsid w:val="00257E85"/>
    <w:rsid w:val="0026018B"/>
    <w:rsid w:val="002601E5"/>
    <w:rsid w:val="00260331"/>
    <w:rsid w:val="00260A93"/>
    <w:rsid w:val="002611E1"/>
    <w:rsid w:val="00261C88"/>
    <w:rsid w:val="00261FDF"/>
    <w:rsid w:val="002625D3"/>
    <w:rsid w:val="00262AB3"/>
    <w:rsid w:val="00262B63"/>
    <w:rsid w:val="00262DD0"/>
    <w:rsid w:val="00262F5E"/>
    <w:rsid w:val="00263137"/>
    <w:rsid w:val="00264598"/>
    <w:rsid w:val="00264D09"/>
    <w:rsid w:val="00264D64"/>
    <w:rsid w:val="00265B1C"/>
    <w:rsid w:val="00265CB2"/>
    <w:rsid w:val="00265F4E"/>
    <w:rsid w:val="0026629C"/>
    <w:rsid w:val="00267371"/>
    <w:rsid w:val="002678CB"/>
    <w:rsid w:val="00267B04"/>
    <w:rsid w:val="002701CF"/>
    <w:rsid w:val="0027065D"/>
    <w:rsid w:val="0027084A"/>
    <w:rsid w:val="00270B0A"/>
    <w:rsid w:val="00270BC6"/>
    <w:rsid w:val="00271C12"/>
    <w:rsid w:val="00271E93"/>
    <w:rsid w:val="00272137"/>
    <w:rsid w:val="0027306F"/>
    <w:rsid w:val="0027375E"/>
    <w:rsid w:val="00273F0D"/>
    <w:rsid w:val="00274058"/>
    <w:rsid w:val="0027441A"/>
    <w:rsid w:val="00274D91"/>
    <w:rsid w:val="00275154"/>
    <w:rsid w:val="002760E6"/>
    <w:rsid w:val="00276334"/>
    <w:rsid w:val="002769BB"/>
    <w:rsid w:val="00276E4C"/>
    <w:rsid w:val="00277488"/>
    <w:rsid w:val="002776C9"/>
    <w:rsid w:val="00277A7A"/>
    <w:rsid w:val="00277D1F"/>
    <w:rsid w:val="00277DD3"/>
    <w:rsid w:val="00280533"/>
    <w:rsid w:val="002808A5"/>
    <w:rsid w:val="00280C7E"/>
    <w:rsid w:val="00281732"/>
    <w:rsid w:val="00281B75"/>
    <w:rsid w:val="00281ED5"/>
    <w:rsid w:val="002828AA"/>
    <w:rsid w:val="00282930"/>
    <w:rsid w:val="00282EEE"/>
    <w:rsid w:val="00283B84"/>
    <w:rsid w:val="00283F6B"/>
    <w:rsid w:val="00284032"/>
    <w:rsid w:val="00284539"/>
    <w:rsid w:val="0028484F"/>
    <w:rsid w:val="00284893"/>
    <w:rsid w:val="00284AFF"/>
    <w:rsid w:val="00284D9A"/>
    <w:rsid w:val="00285140"/>
    <w:rsid w:val="0028550B"/>
    <w:rsid w:val="002857B1"/>
    <w:rsid w:val="002866A8"/>
    <w:rsid w:val="002868FD"/>
    <w:rsid w:val="00286907"/>
    <w:rsid w:val="00286982"/>
    <w:rsid w:val="002870AB"/>
    <w:rsid w:val="002875D4"/>
    <w:rsid w:val="00290A7C"/>
    <w:rsid w:val="00290B70"/>
    <w:rsid w:val="002913D0"/>
    <w:rsid w:val="00291437"/>
    <w:rsid w:val="00291E24"/>
    <w:rsid w:val="0029200E"/>
    <w:rsid w:val="00292227"/>
    <w:rsid w:val="00292427"/>
    <w:rsid w:val="0029255E"/>
    <w:rsid w:val="00292ACC"/>
    <w:rsid w:val="00293E99"/>
    <w:rsid w:val="00294D11"/>
    <w:rsid w:val="00295635"/>
    <w:rsid w:val="00295867"/>
    <w:rsid w:val="00295B74"/>
    <w:rsid w:val="00296088"/>
    <w:rsid w:val="002961F1"/>
    <w:rsid w:val="002967CA"/>
    <w:rsid w:val="0029688A"/>
    <w:rsid w:val="0029713F"/>
    <w:rsid w:val="0029755A"/>
    <w:rsid w:val="00297AB4"/>
    <w:rsid w:val="00297CE1"/>
    <w:rsid w:val="002A0560"/>
    <w:rsid w:val="002A0A13"/>
    <w:rsid w:val="002A0EBF"/>
    <w:rsid w:val="002A12A7"/>
    <w:rsid w:val="002A17BA"/>
    <w:rsid w:val="002A2383"/>
    <w:rsid w:val="002A2427"/>
    <w:rsid w:val="002A2964"/>
    <w:rsid w:val="002A2B3F"/>
    <w:rsid w:val="002A3150"/>
    <w:rsid w:val="002A3388"/>
    <w:rsid w:val="002A3688"/>
    <w:rsid w:val="002A3EEE"/>
    <w:rsid w:val="002A3FC1"/>
    <w:rsid w:val="002A4700"/>
    <w:rsid w:val="002A4AD9"/>
    <w:rsid w:val="002A5AB9"/>
    <w:rsid w:val="002A6009"/>
    <w:rsid w:val="002A6D07"/>
    <w:rsid w:val="002A7040"/>
    <w:rsid w:val="002A7687"/>
    <w:rsid w:val="002A7964"/>
    <w:rsid w:val="002B004F"/>
    <w:rsid w:val="002B0263"/>
    <w:rsid w:val="002B1BC3"/>
    <w:rsid w:val="002B22F4"/>
    <w:rsid w:val="002B23FC"/>
    <w:rsid w:val="002B2FFC"/>
    <w:rsid w:val="002B3122"/>
    <w:rsid w:val="002B3663"/>
    <w:rsid w:val="002B47AF"/>
    <w:rsid w:val="002B52EF"/>
    <w:rsid w:val="002B5480"/>
    <w:rsid w:val="002B639E"/>
    <w:rsid w:val="002B6991"/>
    <w:rsid w:val="002B6A0E"/>
    <w:rsid w:val="002B765C"/>
    <w:rsid w:val="002B7665"/>
    <w:rsid w:val="002B773E"/>
    <w:rsid w:val="002B7808"/>
    <w:rsid w:val="002C0114"/>
    <w:rsid w:val="002C06B0"/>
    <w:rsid w:val="002C15A1"/>
    <w:rsid w:val="002C1C42"/>
    <w:rsid w:val="002C1E87"/>
    <w:rsid w:val="002C1FED"/>
    <w:rsid w:val="002C20EB"/>
    <w:rsid w:val="002C263B"/>
    <w:rsid w:val="002C27AF"/>
    <w:rsid w:val="002C2A6B"/>
    <w:rsid w:val="002C2A7C"/>
    <w:rsid w:val="002C3134"/>
    <w:rsid w:val="002C35F4"/>
    <w:rsid w:val="002C390F"/>
    <w:rsid w:val="002C4444"/>
    <w:rsid w:val="002C4709"/>
    <w:rsid w:val="002C496F"/>
    <w:rsid w:val="002C4B45"/>
    <w:rsid w:val="002C4EE6"/>
    <w:rsid w:val="002C545A"/>
    <w:rsid w:val="002C54C5"/>
    <w:rsid w:val="002C5923"/>
    <w:rsid w:val="002C592C"/>
    <w:rsid w:val="002C5C11"/>
    <w:rsid w:val="002C61A0"/>
    <w:rsid w:val="002C6690"/>
    <w:rsid w:val="002C7691"/>
    <w:rsid w:val="002C790D"/>
    <w:rsid w:val="002C7CF2"/>
    <w:rsid w:val="002D01E1"/>
    <w:rsid w:val="002D035B"/>
    <w:rsid w:val="002D04EA"/>
    <w:rsid w:val="002D05FB"/>
    <w:rsid w:val="002D0E1D"/>
    <w:rsid w:val="002D101A"/>
    <w:rsid w:val="002D1BC1"/>
    <w:rsid w:val="002D2580"/>
    <w:rsid w:val="002D2680"/>
    <w:rsid w:val="002D2859"/>
    <w:rsid w:val="002D31AB"/>
    <w:rsid w:val="002D349B"/>
    <w:rsid w:val="002D38B9"/>
    <w:rsid w:val="002D395A"/>
    <w:rsid w:val="002D40FA"/>
    <w:rsid w:val="002D4320"/>
    <w:rsid w:val="002D558D"/>
    <w:rsid w:val="002D5B98"/>
    <w:rsid w:val="002D5FD4"/>
    <w:rsid w:val="002D6207"/>
    <w:rsid w:val="002D6280"/>
    <w:rsid w:val="002D65C8"/>
    <w:rsid w:val="002D6921"/>
    <w:rsid w:val="002D6B5C"/>
    <w:rsid w:val="002D6BE1"/>
    <w:rsid w:val="002D6E79"/>
    <w:rsid w:val="002D724E"/>
    <w:rsid w:val="002D755A"/>
    <w:rsid w:val="002E0137"/>
    <w:rsid w:val="002E01C0"/>
    <w:rsid w:val="002E05C3"/>
    <w:rsid w:val="002E0609"/>
    <w:rsid w:val="002E0A15"/>
    <w:rsid w:val="002E1DC5"/>
    <w:rsid w:val="002E22D6"/>
    <w:rsid w:val="002E241A"/>
    <w:rsid w:val="002E26D7"/>
    <w:rsid w:val="002E313D"/>
    <w:rsid w:val="002E331A"/>
    <w:rsid w:val="002E392E"/>
    <w:rsid w:val="002E4510"/>
    <w:rsid w:val="002E45A8"/>
    <w:rsid w:val="002E4934"/>
    <w:rsid w:val="002E4A45"/>
    <w:rsid w:val="002E4C36"/>
    <w:rsid w:val="002E5197"/>
    <w:rsid w:val="002E5989"/>
    <w:rsid w:val="002E5B0F"/>
    <w:rsid w:val="002E641C"/>
    <w:rsid w:val="002E65E0"/>
    <w:rsid w:val="002E6A1B"/>
    <w:rsid w:val="002E6CD8"/>
    <w:rsid w:val="002E724F"/>
    <w:rsid w:val="002E7969"/>
    <w:rsid w:val="002E79AE"/>
    <w:rsid w:val="002E7AEF"/>
    <w:rsid w:val="002E7DB9"/>
    <w:rsid w:val="002F0D8F"/>
    <w:rsid w:val="002F2A48"/>
    <w:rsid w:val="002F3A20"/>
    <w:rsid w:val="002F3CCD"/>
    <w:rsid w:val="002F4713"/>
    <w:rsid w:val="002F4D15"/>
    <w:rsid w:val="002F5BC7"/>
    <w:rsid w:val="002F6638"/>
    <w:rsid w:val="002F663C"/>
    <w:rsid w:val="002F690A"/>
    <w:rsid w:val="002F6B88"/>
    <w:rsid w:val="002F7289"/>
    <w:rsid w:val="002F7395"/>
    <w:rsid w:val="002F7851"/>
    <w:rsid w:val="00300951"/>
    <w:rsid w:val="00300A1F"/>
    <w:rsid w:val="00300A9C"/>
    <w:rsid w:val="00301292"/>
    <w:rsid w:val="00301628"/>
    <w:rsid w:val="00302FA9"/>
    <w:rsid w:val="0030330A"/>
    <w:rsid w:val="00303915"/>
    <w:rsid w:val="003043FB"/>
    <w:rsid w:val="00304880"/>
    <w:rsid w:val="003058EC"/>
    <w:rsid w:val="003063E3"/>
    <w:rsid w:val="00306511"/>
    <w:rsid w:val="003068E6"/>
    <w:rsid w:val="00307536"/>
    <w:rsid w:val="00307B4B"/>
    <w:rsid w:val="003104BA"/>
    <w:rsid w:val="00310855"/>
    <w:rsid w:val="00310B02"/>
    <w:rsid w:val="00311CEA"/>
    <w:rsid w:val="00311DD5"/>
    <w:rsid w:val="00312A6D"/>
    <w:rsid w:val="00313925"/>
    <w:rsid w:val="003144D5"/>
    <w:rsid w:val="00314621"/>
    <w:rsid w:val="00315BD9"/>
    <w:rsid w:val="00315C8D"/>
    <w:rsid w:val="00315D52"/>
    <w:rsid w:val="0031682B"/>
    <w:rsid w:val="00316ACB"/>
    <w:rsid w:val="00316BA6"/>
    <w:rsid w:val="00317BFA"/>
    <w:rsid w:val="00320BF0"/>
    <w:rsid w:val="00321709"/>
    <w:rsid w:val="00321DBB"/>
    <w:rsid w:val="003222BF"/>
    <w:rsid w:val="00322548"/>
    <w:rsid w:val="003232D8"/>
    <w:rsid w:val="00323849"/>
    <w:rsid w:val="00323A72"/>
    <w:rsid w:val="00323D01"/>
    <w:rsid w:val="003244D3"/>
    <w:rsid w:val="003245BA"/>
    <w:rsid w:val="00324861"/>
    <w:rsid w:val="00324A12"/>
    <w:rsid w:val="00324CCD"/>
    <w:rsid w:val="00324EF5"/>
    <w:rsid w:val="00324FDE"/>
    <w:rsid w:val="00325304"/>
    <w:rsid w:val="0032531A"/>
    <w:rsid w:val="00326314"/>
    <w:rsid w:val="00326919"/>
    <w:rsid w:val="00326E36"/>
    <w:rsid w:val="00327A63"/>
    <w:rsid w:val="00327B0F"/>
    <w:rsid w:val="003303D0"/>
    <w:rsid w:val="00330A37"/>
    <w:rsid w:val="003322EA"/>
    <w:rsid w:val="003324B1"/>
    <w:rsid w:val="00333029"/>
    <w:rsid w:val="003333CD"/>
    <w:rsid w:val="00333467"/>
    <w:rsid w:val="00333D49"/>
    <w:rsid w:val="00333FE7"/>
    <w:rsid w:val="0033465C"/>
    <w:rsid w:val="0033481C"/>
    <w:rsid w:val="00334992"/>
    <w:rsid w:val="00334D1C"/>
    <w:rsid w:val="00335197"/>
    <w:rsid w:val="00335447"/>
    <w:rsid w:val="00335905"/>
    <w:rsid w:val="00335ECE"/>
    <w:rsid w:val="0033659E"/>
    <w:rsid w:val="003368BA"/>
    <w:rsid w:val="00336DD3"/>
    <w:rsid w:val="00337047"/>
    <w:rsid w:val="00337300"/>
    <w:rsid w:val="00337477"/>
    <w:rsid w:val="003375F5"/>
    <w:rsid w:val="00337DFF"/>
    <w:rsid w:val="00340A83"/>
    <w:rsid w:val="00340E12"/>
    <w:rsid w:val="00341F01"/>
    <w:rsid w:val="003424E3"/>
    <w:rsid w:val="0034281F"/>
    <w:rsid w:val="00342934"/>
    <w:rsid w:val="00342B00"/>
    <w:rsid w:val="00342C2C"/>
    <w:rsid w:val="003444A7"/>
    <w:rsid w:val="00344782"/>
    <w:rsid w:val="00344BDA"/>
    <w:rsid w:val="00344CBE"/>
    <w:rsid w:val="003452BC"/>
    <w:rsid w:val="00345527"/>
    <w:rsid w:val="0034577C"/>
    <w:rsid w:val="00345BAF"/>
    <w:rsid w:val="003461DD"/>
    <w:rsid w:val="00346795"/>
    <w:rsid w:val="003468EE"/>
    <w:rsid w:val="003472BC"/>
    <w:rsid w:val="003479DE"/>
    <w:rsid w:val="00347B66"/>
    <w:rsid w:val="003502E3"/>
    <w:rsid w:val="0035058C"/>
    <w:rsid w:val="00350EF7"/>
    <w:rsid w:val="00350F84"/>
    <w:rsid w:val="003515DE"/>
    <w:rsid w:val="00351C76"/>
    <w:rsid w:val="00353147"/>
    <w:rsid w:val="00353B19"/>
    <w:rsid w:val="00354AE2"/>
    <w:rsid w:val="00354BE0"/>
    <w:rsid w:val="00354C25"/>
    <w:rsid w:val="00354C95"/>
    <w:rsid w:val="00354F7E"/>
    <w:rsid w:val="0035534C"/>
    <w:rsid w:val="003553F5"/>
    <w:rsid w:val="00355759"/>
    <w:rsid w:val="0035586A"/>
    <w:rsid w:val="0035596B"/>
    <w:rsid w:val="00355A87"/>
    <w:rsid w:val="00355CAB"/>
    <w:rsid w:val="00356430"/>
    <w:rsid w:val="00356954"/>
    <w:rsid w:val="003573CC"/>
    <w:rsid w:val="003602A9"/>
    <w:rsid w:val="00360438"/>
    <w:rsid w:val="0036096B"/>
    <w:rsid w:val="00361209"/>
    <w:rsid w:val="0036157B"/>
    <w:rsid w:val="00361AAE"/>
    <w:rsid w:val="00361EA9"/>
    <w:rsid w:val="00363D62"/>
    <w:rsid w:val="00363F26"/>
    <w:rsid w:val="00363F51"/>
    <w:rsid w:val="00364529"/>
    <w:rsid w:val="0036462B"/>
    <w:rsid w:val="00364957"/>
    <w:rsid w:val="003662EA"/>
    <w:rsid w:val="00366695"/>
    <w:rsid w:val="003667C8"/>
    <w:rsid w:val="00366BF6"/>
    <w:rsid w:val="003702D1"/>
    <w:rsid w:val="00370DD9"/>
    <w:rsid w:val="00370EB5"/>
    <w:rsid w:val="00370F56"/>
    <w:rsid w:val="0037163D"/>
    <w:rsid w:val="0037169A"/>
    <w:rsid w:val="00371795"/>
    <w:rsid w:val="0037275C"/>
    <w:rsid w:val="00372DC9"/>
    <w:rsid w:val="00373278"/>
    <w:rsid w:val="00373356"/>
    <w:rsid w:val="003734EE"/>
    <w:rsid w:val="003736AE"/>
    <w:rsid w:val="00373F6E"/>
    <w:rsid w:val="00374D04"/>
    <w:rsid w:val="00374F94"/>
    <w:rsid w:val="003750EB"/>
    <w:rsid w:val="0037538E"/>
    <w:rsid w:val="003756CA"/>
    <w:rsid w:val="00375B72"/>
    <w:rsid w:val="00375D7D"/>
    <w:rsid w:val="00375FFD"/>
    <w:rsid w:val="003762E0"/>
    <w:rsid w:val="00376F5B"/>
    <w:rsid w:val="0037745D"/>
    <w:rsid w:val="0037747A"/>
    <w:rsid w:val="00377661"/>
    <w:rsid w:val="00377DD1"/>
    <w:rsid w:val="003801E4"/>
    <w:rsid w:val="0038045D"/>
    <w:rsid w:val="003805D3"/>
    <w:rsid w:val="00380985"/>
    <w:rsid w:val="00380A07"/>
    <w:rsid w:val="00380B70"/>
    <w:rsid w:val="00380EEE"/>
    <w:rsid w:val="00381181"/>
    <w:rsid w:val="0038124A"/>
    <w:rsid w:val="003814BF"/>
    <w:rsid w:val="00381C39"/>
    <w:rsid w:val="00381D2A"/>
    <w:rsid w:val="003822EE"/>
    <w:rsid w:val="00382CB9"/>
    <w:rsid w:val="00382FFF"/>
    <w:rsid w:val="0038388D"/>
    <w:rsid w:val="00384094"/>
    <w:rsid w:val="00384126"/>
    <w:rsid w:val="003845D8"/>
    <w:rsid w:val="00384B31"/>
    <w:rsid w:val="00385651"/>
    <w:rsid w:val="00386054"/>
    <w:rsid w:val="00386C91"/>
    <w:rsid w:val="00386DD2"/>
    <w:rsid w:val="0038785F"/>
    <w:rsid w:val="00387D2F"/>
    <w:rsid w:val="00390574"/>
    <w:rsid w:val="00390C69"/>
    <w:rsid w:val="003913B8"/>
    <w:rsid w:val="0039278D"/>
    <w:rsid w:val="0039280C"/>
    <w:rsid w:val="00392A97"/>
    <w:rsid w:val="00393056"/>
    <w:rsid w:val="0039307C"/>
    <w:rsid w:val="00393429"/>
    <w:rsid w:val="00393E38"/>
    <w:rsid w:val="00393F21"/>
    <w:rsid w:val="00394F18"/>
    <w:rsid w:val="003968B8"/>
    <w:rsid w:val="00396C32"/>
    <w:rsid w:val="00396CCE"/>
    <w:rsid w:val="00396CDD"/>
    <w:rsid w:val="00396D1C"/>
    <w:rsid w:val="00397472"/>
    <w:rsid w:val="00397A35"/>
    <w:rsid w:val="003A00F1"/>
    <w:rsid w:val="003A056D"/>
    <w:rsid w:val="003A0840"/>
    <w:rsid w:val="003A1908"/>
    <w:rsid w:val="003A2A62"/>
    <w:rsid w:val="003A3C66"/>
    <w:rsid w:val="003A45BC"/>
    <w:rsid w:val="003A47CE"/>
    <w:rsid w:val="003A55D4"/>
    <w:rsid w:val="003A57D5"/>
    <w:rsid w:val="003A59F3"/>
    <w:rsid w:val="003A5D76"/>
    <w:rsid w:val="003A6332"/>
    <w:rsid w:val="003A6BEE"/>
    <w:rsid w:val="003A6E90"/>
    <w:rsid w:val="003A7206"/>
    <w:rsid w:val="003A7572"/>
    <w:rsid w:val="003A76D1"/>
    <w:rsid w:val="003B014B"/>
    <w:rsid w:val="003B064D"/>
    <w:rsid w:val="003B09EB"/>
    <w:rsid w:val="003B230C"/>
    <w:rsid w:val="003B2519"/>
    <w:rsid w:val="003B2D1D"/>
    <w:rsid w:val="003B3064"/>
    <w:rsid w:val="003B30DC"/>
    <w:rsid w:val="003B320B"/>
    <w:rsid w:val="003B38F7"/>
    <w:rsid w:val="003B3ED3"/>
    <w:rsid w:val="003B40FE"/>
    <w:rsid w:val="003B43BE"/>
    <w:rsid w:val="003B4805"/>
    <w:rsid w:val="003B4E61"/>
    <w:rsid w:val="003B5770"/>
    <w:rsid w:val="003B5DF4"/>
    <w:rsid w:val="003B600E"/>
    <w:rsid w:val="003B60F1"/>
    <w:rsid w:val="003B6401"/>
    <w:rsid w:val="003B6607"/>
    <w:rsid w:val="003B71C1"/>
    <w:rsid w:val="003B7233"/>
    <w:rsid w:val="003B7451"/>
    <w:rsid w:val="003B7486"/>
    <w:rsid w:val="003B7783"/>
    <w:rsid w:val="003C0495"/>
    <w:rsid w:val="003C06E7"/>
    <w:rsid w:val="003C0802"/>
    <w:rsid w:val="003C0971"/>
    <w:rsid w:val="003C1012"/>
    <w:rsid w:val="003C1441"/>
    <w:rsid w:val="003C1446"/>
    <w:rsid w:val="003C2268"/>
    <w:rsid w:val="003C23EE"/>
    <w:rsid w:val="003C2781"/>
    <w:rsid w:val="003C278B"/>
    <w:rsid w:val="003C2AA4"/>
    <w:rsid w:val="003C3177"/>
    <w:rsid w:val="003C3C8B"/>
    <w:rsid w:val="003C4650"/>
    <w:rsid w:val="003C5085"/>
    <w:rsid w:val="003C54EC"/>
    <w:rsid w:val="003C590F"/>
    <w:rsid w:val="003C5CE7"/>
    <w:rsid w:val="003C6749"/>
    <w:rsid w:val="003C7253"/>
    <w:rsid w:val="003D175C"/>
    <w:rsid w:val="003D246C"/>
    <w:rsid w:val="003D2577"/>
    <w:rsid w:val="003D2999"/>
    <w:rsid w:val="003D2A26"/>
    <w:rsid w:val="003D2F17"/>
    <w:rsid w:val="003D32E2"/>
    <w:rsid w:val="003D32FB"/>
    <w:rsid w:val="003D3610"/>
    <w:rsid w:val="003D38E0"/>
    <w:rsid w:val="003D3E5E"/>
    <w:rsid w:val="003D472F"/>
    <w:rsid w:val="003D47A0"/>
    <w:rsid w:val="003D5270"/>
    <w:rsid w:val="003D531B"/>
    <w:rsid w:val="003D5E40"/>
    <w:rsid w:val="003D68A9"/>
    <w:rsid w:val="003D6D7D"/>
    <w:rsid w:val="003D6DF2"/>
    <w:rsid w:val="003D7FA1"/>
    <w:rsid w:val="003E0148"/>
    <w:rsid w:val="003E074F"/>
    <w:rsid w:val="003E08A2"/>
    <w:rsid w:val="003E0F52"/>
    <w:rsid w:val="003E25BB"/>
    <w:rsid w:val="003E26D2"/>
    <w:rsid w:val="003E28EC"/>
    <w:rsid w:val="003E3139"/>
    <w:rsid w:val="003E3384"/>
    <w:rsid w:val="003E33E2"/>
    <w:rsid w:val="003E4128"/>
    <w:rsid w:val="003E4325"/>
    <w:rsid w:val="003E462D"/>
    <w:rsid w:val="003E549E"/>
    <w:rsid w:val="003E55C8"/>
    <w:rsid w:val="003E5B10"/>
    <w:rsid w:val="003E6265"/>
    <w:rsid w:val="003E661F"/>
    <w:rsid w:val="003E6902"/>
    <w:rsid w:val="003E6B12"/>
    <w:rsid w:val="003E6D68"/>
    <w:rsid w:val="003E6DC0"/>
    <w:rsid w:val="003E7235"/>
    <w:rsid w:val="003E73D8"/>
    <w:rsid w:val="003E76C2"/>
    <w:rsid w:val="003F00C9"/>
    <w:rsid w:val="003F04D1"/>
    <w:rsid w:val="003F07C7"/>
    <w:rsid w:val="003F1177"/>
    <w:rsid w:val="003F19AB"/>
    <w:rsid w:val="003F1B09"/>
    <w:rsid w:val="003F2473"/>
    <w:rsid w:val="003F27AB"/>
    <w:rsid w:val="003F2A1F"/>
    <w:rsid w:val="003F2A45"/>
    <w:rsid w:val="003F3E06"/>
    <w:rsid w:val="003F4052"/>
    <w:rsid w:val="003F4379"/>
    <w:rsid w:val="003F4B14"/>
    <w:rsid w:val="003F62F6"/>
    <w:rsid w:val="003F63C3"/>
    <w:rsid w:val="003F6AF5"/>
    <w:rsid w:val="003F6CF8"/>
    <w:rsid w:val="003F6DBA"/>
    <w:rsid w:val="003F6EC0"/>
    <w:rsid w:val="003F6FE6"/>
    <w:rsid w:val="003F76EC"/>
    <w:rsid w:val="003F774D"/>
    <w:rsid w:val="003F7CA8"/>
    <w:rsid w:val="004002D6"/>
    <w:rsid w:val="00400576"/>
    <w:rsid w:val="004005CC"/>
    <w:rsid w:val="00400AF8"/>
    <w:rsid w:val="0040272F"/>
    <w:rsid w:val="004032A6"/>
    <w:rsid w:val="00403B65"/>
    <w:rsid w:val="00404594"/>
    <w:rsid w:val="00404EF5"/>
    <w:rsid w:val="00404F33"/>
    <w:rsid w:val="00405257"/>
    <w:rsid w:val="00405560"/>
    <w:rsid w:val="00405923"/>
    <w:rsid w:val="00405E8F"/>
    <w:rsid w:val="00406164"/>
    <w:rsid w:val="004061E9"/>
    <w:rsid w:val="00407573"/>
    <w:rsid w:val="00407848"/>
    <w:rsid w:val="00407919"/>
    <w:rsid w:val="004079B4"/>
    <w:rsid w:val="004101CC"/>
    <w:rsid w:val="00410C61"/>
    <w:rsid w:val="00410DE7"/>
    <w:rsid w:val="00411253"/>
    <w:rsid w:val="00411606"/>
    <w:rsid w:val="00411AFD"/>
    <w:rsid w:val="00411C59"/>
    <w:rsid w:val="00411DF4"/>
    <w:rsid w:val="004120A9"/>
    <w:rsid w:val="00412E4A"/>
    <w:rsid w:val="0041370A"/>
    <w:rsid w:val="00413AA3"/>
    <w:rsid w:val="00413FE5"/>
    <w:rsid w:val="00414213"/>
    <w:rsid w:val="00414314"/>
    <w:rsid w:val="00414592"/>
    <w:rsid w:val="004145AC"/>
    <w:rsid w:val="00414953"/>
    <w:rsid w:val="00414A18"/>
    <w:rsid w:val="00414C4E"/>
    <w:rsid w:val="00414E92"/>
    <w:rsid w:val="00414F6F"/>
    <w:rsid w:val="00415681"/>
    <w:rsid w:val="00415982"/>
    <w:rsid w:val="004168A7"/>
    <w:rsid w:val="00416ED4"/>
    <w:rsid w:val="004206F9"/>
    <w:rsid w:val="00420851"/>
    <w:rsid w:val="004208C1"/>
    <w:rsid w:val="00420A90"/>
    <w:rsid w:val="00421A55"/>
    <w:rsid w:val="00421EEC"/>
    <w:rsid w:val="004224EA"/>
    <w:rsid w:val="00422E98"/>
    <w:rsid w:val="00423812"/>
    <w:rsid w:val="00423DD6"/>
    <w:rsid w:val="00424183"/>
    <w:rsid w:val="00425045"/>
    <w:rsid w:val="004254E2"/>
    <w:rsid w:val="00426178"/>
    <w:rsid w:val="00426327"/>
    <w:rsid w:val="00426CED"/>
    <w:rsid w:val="00426F1A"/>
    <w:rsid w:val="00427447"/>
    <w:rsid w:val="004276A8"/>
    <w:rsid w:val="00427A46"/>
    <w:rsid w:val="00427B46"/>
    <w:rsid w:val="004301F5"/>
    <w:rsid w:val="00430677"/>
    <w:rsid w:val="0043108D"/>
    <w:rsid w:val="0043172B"/>
    <w:rsid w:val="0043180B"/>
    <w:rsid w:val="00431CCD"/>
    <w:rsid w:val="00432195"/>
    <w:rsid w:val="004325C7"/>
    <w:rsid w:val="00432735"/>
    <w:rsid w:val="00432782"/>
    <w:rsid w:val="00432D79"/>
    <w:rsid w:val="00433059"/>
    <w:rsid w:val="00433529"/>
    <w:rsid w:val="00433E2F"/>
    <w:rsid w:val="0043433A"/>
    <w:rsid w:val="0043541E"/>
    <w:rsid w:val="00435641"/>
    <w:rsid w:val="004357F2"/>
    <w:rsid w:val="0043590D"/>
    <w:rsid w:val="00436219"/>
    <w:rsid w:val="00436BB8"/>
    <w:rsid w:val="00436CB8"/>
    <w:rsid w:val="00436DBB"/>
    <w:rsid w:val="00436FEB"/>
    <w:rsid w:val="0043786D"/>
    <w:rsid w:val="00437B7A"/>
    <w:rsid w:val="00440A0B"/>
    <w:rsid w:val="004418B0"/>
    <w:rsid w:val="0044265D"/>
    <w:rsid w:val="00442E53"/>
    <w:rsid w:val="00443018"/>
    <w:rsid w:val="0044399B"/>
    <w:rsid w:val="00443C4A"/>
    <w:rsid w:val="00443C77"/>
    <w:rsid w:val="00443E07"/>
    <w:rsid w:val="00443FF2"/>
    <w:rsid w:val="00444377"/>
    <w:rsid w:val="00444B9C"/>
    <w:rsid w:val="00444C7A"/>
    <w:rsid w:val="004464A3"/>
    <w:rsid w:val="00446596"/>
    <w:rsid w:val="00446A60"/>
    <w:rsid w:val="00446ED2"/>
    <w:rsid w:val="00446FAD"/>
    <w:rsid w:val="004471D3"/>
    <w:rsid w:val="004476EC"/>
    <w:rsid w:val="00447EA8"/>
    <w:rsid w:val="00450F27"/>
    <w:rsid w:val="00451655"/>
    <w:rsid w:val="00451EA2"/>
    <w:rsid w:val="00451F96"/>
    <w:rsid w:val="00452005"/>
    <w:rsid w:val="00452288"/>
    <w:rsid w:val="0045257B"/>
    <w:rsid w:val="004528A9"/>
    <w:rsid w:val="00453D00"/>
    <w:rsid w:val="00453DA1"/>
    <w:rsid w:val="00454FA8"/>
    <w:rsid w:val="00456008"/>
    <w:rsid w:val="004560F8"/>
    <w:rsid w:val="004567EF"/>
    <w:rsid w:val="00457339"/>
    <w:rsid w:val="00457B29"/>
    <w:rsid w:val="00457ED2"/>
    <w:rsid w:val="004600D4"/>
    <w:rsid w:val="00460678"/>
    <w:rsid w:val="00460BA6"/>
    <w:rsid w:val="004616CD"/>
    <w:rsid w:val="00461819"/>
    <w:rsid w:val="0046182D"/>
    <w:rsid w:val="0046189E"/>
    <w:rsid w:val="00461E09"/>
    <w:rsid w:val="0046236D"/>
    <w:rsid w:val="00462538"/>
    <w:rsid w:val="00462EA1"/>
    <w:rsid w:val="00462FAE"/>
    <w:rsid w:val="004643A4"/>
    <w:rsid w:val="00464E5B"/>
    <w:rsid w:val="00464EA7"/>
    <w:rsid w:val="00465A4D"/>
    <w:rsid w:val="00466BF5"/>
    <w:rsid w:val="00467EBA"/>
    <w:rsid w:val="00467F56"/>
    <w:rsid w:val="00470259"/>
    <w:rsid w:val="00471D4E"/>
    <w:rsid w:val="00471FF4"/>
    <w:rsid w:val="0047236A"/>
    <w:rsid w:val="0047263D"/>
    <w:rsid w:val="00472A95"/>
    <w:rsid w:val="00472B9F"/>
    <w:rsid w:val="004733DF"/>
    <w:rsid w:val="00473A1B"/>
    <w:rsid w:val="00473B9C"/>
    <w:rsid w:val="004744BE"/>
    <w:rsid w:val="004744EE"/>
    <w:rsid w:val="00474694"/>
    <w:rsid w:val="004758BF"/>
    <w:rsid w:val="004758FE"/>
    <w:rsid w:val="00475B16"/>
    <w:rsid w:val="00475D78"/>
    <w:rsid w:val="00475EAA"/>
    <w:rsid w:val="004760D2"/>
    <w:rsid w:val="004763AB"/>
    <w:rsid w:val="00477025"/>
    <w:rsid w:val="004773EE"/>
    <w:rsid w:val="004775E0"/>
    <w:rsid w:val="0047767B"/>
    <w:rsid w:val="00477AA8"/>
    <w:rsid w:val="00477F6F"/>
    <w:rsid w:val="00480657"/>
    <w:rsid w:val="00480661"/>
    <w:rsid w:val="0048082F"/>
    <w:rsid w:val="00480F43"/>
    <w:rsid w:val="00481418"/>
    <w:rsid w:val="004826F9"/>
    <w:rsid w:val="00482751"/>
    <w:rsid w:val="0048286D"/>
    <w:rsid w:val="00483312"/>
    <w:rsid w:val="004839DE"/>
    <w:rsid w:val="00483FD5"/>
    <w:rsid w:val="00483FF5"/>
    <w:rsid w:val="004843C3"/>
    <w:rsid w:val="00484454"/>
    <w:rsid w:val="0048533D"/>
    <w:rsid w:val="00485C7D"/>
    <w:rsid w:val="004863BC"/>
    <w:rsid w:val="00486519"/>
    <w:rsid w:val="00486841"/>
    <w:rsid w:val="00487CE6"/>
    <w:rsid w:val="0049032B"/>
    <w:rsid w:val="00490C02"/>
    <w:rsid w:val="00490D60"/>
    <w:rsid w:val="00491307"/>
    <w:rsid w:val="00491453"/>
    <w:rsid w:val="00491B2D"/>
    <w:rsid w:val="00491CA3"/>
    <w:rsid w:val="004928B7"/>
    <w:rsid w:val="004937CE"/>
    <w:rsid w:val="00494712"/>
    <w:rsid w:val="00494D09"/>
    <w:rsid w:val="004955ED"/>
    <w:rsid w:val="00495F64"/>
    <w:rsid w:val="0049746F"/>
    <w:rsid w:val="004975BC"/>
    <w:rsid w:val="00497C15"/>
    <w:rsid w:val="004A01A5"/>
    <w:rsid w:val="004A0C20"/>
    <w:rsid w:val="004A1149"/>
    <w:rsid w:val="004A11FC"/>
    <w:rsid w:val="004A18C5"/>
    <w:rsid w:val="004A1BA4"/>
    <w:rsid w:val="004A305B"/>
    <w:rsid w:val="004A3D3A"/>
    <w:rsid w:val="004A3DD3"/>
    <w:rsid w:val="004A5057"/>
    <w:rsid w:val="004A50F4"/>
    <w:rsid w:val="004A5708"/>
    <w:rsid w:val="004A57EF"/>
    <w:rsid w:val="004A5906"/>
    <w:rsid w:val="004A5E7F"/>
    <w:rsid w:val="004A7160"/>
    <w:rsid w:val="004A731A"/>
    <w:rsid w:val="004B07A7"/>
    <w:rsid w:val="004B083D"/>
    <w:rsid w:val="004B1200"/>
    <w:rsid w:val="004B30F4"/>
    <w:rsid w:val="004B3100"/>
    <w:rsid w:val="004B4155"/>
    <w:rsid w:val="004B4163"/>
    <w:rsid w:val="004B4398"/>
    <w:rsid w:val="004B4CC0"/>
    <w:rsid w:val="004B4EEA"/>
    <w:rsid w:val="004B67A2"/>
    <w:rsid w:val="004B7112"/>
    <w:rsid w:val="004B7117"/>
    <w:rsid w:val="004B7197"/>
    <w:rsid w:val="004B73CC"/>
    <w:rsid w:val="004B77AA"/>
    <w:rsid w:val="004B77FF"/>
    <w:rsid w:val="004B7834"/>
    <w:rsid w:val="004C0B58"/>
    <w:rsid w:val="004C1843"/>
    <w:rsid w:val="004C1ADF"/>
    <w:rsid w:val="004C31F1"/>
    <w:rsid w:val="004C39AC"/>
    <w:rsid w:val="004C452A"/>
    <w:rsid w:val="004C4639"/>
    <w:rsid w:val="004C490F"/>
    <w:rsid w:val="004C4A03"/>
    <w:rsid w:val="004C4CD8"/>
    <w:rsid w:val="004C5289"/>
    <w:rsid w:val="004C53E8"/>
    <w:rsid w:val="004C66FA"/>
    <w:rsid w:val="004C687D"/>
    <w:rsid w:val="004C6CA3"/>
    <w:rsid w:val="004C6EA4"/>
    <w:rsid w:val="004D1ED9"/>
    <w:rsid w:val="004D3DCB"/>
    <w:rsid w:val="004D4586"/>
    <w:rsid w:val="004D4690"/>
    <w:rsid w:val="004D4734"/>
    <w:rsid w:val="004D4C77"/>
    <w:rsid w:val="004D5CDD"/>
    <w:rsid w:val="004D5D4F"/>
    <w:rsid w:val="004D5E39"/>
    <w:rsid w:val="004D616E"/>
    <w:rsid w:val="004D6B50"/>
    <w:rsid w:val="004D6FAA"/>
    <w:rsid w:val="004D79D6"/>
    <w:rsid w:val="004E0313"/>
    <w:rsid w:val="004E0945"/>
    <w:rsid w:val="004E0DC5"/>
    <w:rsid w:val="004E0E72"/>
    <w:rsid w:val="004E11D1"/>
    <w:rsid w:val="004E1AD9"/>
    <w:rsid w:val="004E20F3"/>
    <w:rsid w:val="004E2228"/>
    <w:rsid w:val="004E3B65"/>
    <w:rsid w:val="004E407D"/>
    <w:rsid w:val="004E44FB"/>
    <w:rsid w:val="004E4937"/>
    <w:rsid w:val="004E4BCF"/>
    <w:rsid w:val="004E4C22"/>
    <w:rsid w:val="004E51E3"/>
    <w:rsid w:val="004E66CA"/>
    <w:rsid w:val="004E67DF"/>
    <w:rsid w:val="004E6FD4"/>
    <w:rsid w:val="004E723A"/>
    <w:rsid w:val="004E7794"/>
    <w:rsid w:val="004E7A17"/>
    <w:rsid w:val="004F00C9"/>
    <w:rsid w:val="004F04F2"/>
    <w:rsid w:val="004F0590"/>
    <w:rsid w:val="004F0DB0"/>
    <w:rsid w:val="004F0E9A"/>
    <w:rsid w:val="004F129B"/>
    <w:rsid w:val="004F1507"/>
    <w:rsid w:val="004F1A5F"/>
    <w:rsid w:val="004F292B"/>
    <w:rsid w:val="004F2AE7"/>
    <w:rsid w:val="004F2E48"/>
    <w:rsid w:val="004F2E5F"/>
    <w:rsid w:val="004F350B"/>
    <w:rsid w:val="004F3FDC"/>
    <w:rsid w:val="004F475F"/>
    <w:rsid w:val="004F4C75"/>
    <w:rsid w:val="004F4E60"/>
    <w:rsid w:val="004F57CD"/>
    <w:rsid w:val="004F580B"/>
    <w:rsid w:val="004F583F"/>
    <w:rsid w:val="004F5C11"/>
    <w:rsid w:val="004F6444"/>
    <w:rsid w:val="004F6BA7"/>
    <w:rsid w:val="004F70BF"/>
    <w:rsid w:val="004F7555"/>
    <w:rsid w:val="004F75B6"/>
    <w:rsid w:val="004F7A25"/>
    <w:rsid w:val="0050010D"/>
    <w:rsid w:val="00500454"/>
    <w:rsid w:val="0050071D"/>
    <w:rsid w:val="00500B14"/>
    <w:rsid w:val="00501004"/>
    <w:rsid w:val="00501234"/>
    <w:rsid w:val="005013CB"/>
    <w:rsid w:val="005014B2"/>
    <w:rsid w:val="00501BEE"/>
    <w:rsid w:val="00502773"/>
    <w:rsid w:val="00502841"/>
    <w:rsid w:val="00502852"/>
    <w:rsid w:val="0050294F"/>
    <w:rsid w:val="00502A0E"/>
    <w:rsid w:val="0050313E"/>
    <w:rsid w:val="00503A02"/>
    <w:rsid w:val="00503B59"/>
    <w:rsid w:val="00504A6E"/>
    <w:rsid w:val="005052D3"/>
    <w:rsid w:val="005063A1"/>
    <w:rsid w:val="0050652C"/>
    <w:rsid w:val="00506991"/>
    <w:rsid w:val="00506A12"/>
    <w:rsid w:val="00506CDD"/>
    <w:rsid w:val="00506F37"/>
    <w:rsid w:val="005070E7"/>
    <w:rsid w:val="00507D9A"/>
    <w:rsid w:val="00510594"/>
    <w:rsid w:val="0051153A"/>
    <w:rsid w:val="005115DA"/>
    <w:rsid w:val="0051179B"/>
    <w:rsid w:val="00511E68"/>
    <w:rsid w:val="00512905"/>
    <w:rsid w:val="00512993"/>
    <w:rsid w:val="00512AB9"/>
    <w:rsid w:val="00512DAE"/>
    <w:rsid w:val="0051377C"/>
    <w:rsid w:val="00513A4B"/>
    <w:rsid w:val="00514C59"/>
    <w:rsid w:val="00516E15"/>
    <w:rsid w:val="00517AE9"/>
    <w:rsid w:val="00517CC7"/>
    <w:rsid w:val="00520189"/>
    <w:rsid w:val="00520685"/>
    <w:rsid w:val="00520963"/>
    <w:rsid w:val="00520A03"/>
    <w:rsid w:val="00520CEC"/>
    <w:rsid w:val="00520DCB"/>
    <w:rsid w:val="0052112E"/>
    <w:rsid w:val="00521753"/>
    <w:rsid w:val="0052195F"/>
    <w:rsid w:val="00522F24"/>
    <w:rsid w:val="00523728"/>
    <w:rsid w:val="00523D06"/>
    <w:rsid w:val="00523DC1"/>
    <w:rsid w:val="00523DE7"/>
    <w:rsid w:val="005241D6"/>
    <w:rsid w:val="005242DE"/>
    <w:rsid w:val="00524953"/>
    <w:rsid w:val="0052516F"/>
    <w:rsid w:val="005251EF"/>
    <w:rsid w:val="00525A6E"/>
    <w:rsid w:val="005279EE"/>
    <w:rsid w:val="00527F6F"/>
    <w:rsid w:val="005304E1"/>
    <w:rsid w:val="00530C2C"/>
    <w:rsid w:val="00531E0A"/>
    <w:rsid w:val="005329E2"/>
    <w:rsid w:val="00533D14"/>
    <w:rsid w:val="00534A11"/>
    <w:rsid w:val="00534C13"/>
    <w:rsid w:val="00534D77"/>
    <w:rsid w:val="00534E90"/>
    <w:rsid w:val="0053506C"/>
    <w:rsid w:val="00535280"/>
    <w:rsid w:val="005353CB"/>
    <w:rsid w:val="00535AEA"/>
    <w:rsid w:val="00536469"/>
    <w:rsid w:val="005364C2"/>
    <w:rsid w:val="0053690E"/>
    <w:rsid w:val="005369A7"/>
    <w:rsid w:val="005374A5"/>
    <w:rsid w:val="0053754B"/>
    <w:rsid w:val="00537F24"/>
    <w:rsid w:val="005403EF"/>
    <w:rsid w:val="00540448"/>
    <w:rsid w:val="00540C71"/>
    <w:rsid w:val="00540FDC"/>
    <w:rsid w:val="005413F1"/>
    <w:rsid w:val="00541549"/>
    <w:rsid w:val="005418AE"/>
    <w:rsid w:val="00542018"/>
    <w:rsid w:val="005423B6"/>
    <w:rsid w:val="00542D95"/>
    <w:rsid w:val="0054367A"/>
    <w:rsid w:val="00543707"/>
    <w:rsid w:val="00543C82"/>
    <w:rsid w:val="00543FB8"/>
    <w:rsid w:val="00544A95"/>
    <w:rsid w:val="005452C9"/>
    <w:rsid w:val="005453C0"/>
    <w:rsid w:val="00545537"/>
    <w:rsid w:val="00545796"/>
    <w:rsid w:val="00546C70"/>
    <w:rsid w:val="005476AC"/>
    <w:rsid w:val="00547A07"/>
    <w:rsid w:val="0055002B"/>
    <w:rsid w:val="005503C4"/>
    <w:rsid w:val="005508F6"/>
    <w:rsid w:val="00551124"/>
    <w:rsid w:val="00551752"/>
    <w:rsid w:val="00551889"/>
    <w:rsid w:val="00551937"/>
    <w:rsid w:val="005521AC"/>
    <w:rsid w:val="00552220"/>
    <w:rsid w:val="005525B2"/>
    <w:rsid w:val="00552C59"/>
    <w:rsid w:val="0055372B"/>
    <w:rsid w:val="00553D42"/>
    <w:rsid w:val="00554348"/>
    <w:rsid w:val="005545D9"/>
    <w:rsid w:val="005567CA"/>
    <w:rsid w:val="00556C15"/>
    <w:rsid w:val="005600E0"/>
    <w:rsid w:val="00560306"/>
    <w:rsid w:val="0056063A"/>
    <w:rsid w:val="005606F5"/>
    <w:rsid w:val="0056071D"/>
    <w:rsid w:val="005608B3"/>
    <w:rsid w:val="005619BD"/>
    <w:rsid w:val="0056268A"/>
    <w:rsid w:val="00562CDF"/>
    <w:rsid w:val="00562DE6"/>
    <w:rsid w:val="00563591"/>
    <w:rsid w:val="0056365B"/>
    <w:rsid w:val="00563886"/>
    <w:rsid w:val="005639AB"/>
    <w:rsid w:val="00563CCE"/>
    <w:rsid w:val="005642F2"/>
    <w:rsid w:val="00565163"/>
    <w:rsid w:val="00565194"/>
    <w:rsid w:val="00565645"/>
    <w:rsid w:val="00565BD7"/>
    <w:rsid w:val="00566581"/>
    <w:rsid w:val="0056669E"/>
    <w:rsid w:val="00566B23"/>
    <w:rsid w:val="00567138"/>
    <w:rsid w:val="005676FA"/>
    <w:rsid w:val="00567A2D"/>
    <w:rsid w:val="005713C1"/>
    <w:rsid w:val="00571AC2"/>
    <w:rsid w:val="00571E01"/>
    <w:rsid w:val="00573720"/>
    <w:rsid w:val="005737FB"/>
    <w:rsid w:val="0057489D"/>
    <w:rsid w:val="0057502D"/>
    <w:rsid w:val="00575A89"/>
    <w:rsid w:val="00575D0D"/>
    <w:rsid w:val="00575FF4"/>
    <w:rsid w:val="005765E2"/>
    <w:rsid w:val="005770FF"/>
    <w:rsid w:val="0058008E"/>
    <w:rsid w:val="005802F5"/>
    <w:rsid w:val="00580A42"/>
    <w:rsid w:val="005816E5"/>
    <w:rsid w:val="0058181D"/>
    <w:rsid w:val="00581D16"/>
    <w:rsid w:val="00582109"/>
    <w:rsid w:val="00582C30"/>
    <w:rsid w:val="00582D53"/>
    <w:rsid w:val="00582EED"/>
    <w:rsid w:val="0058330A"/>
    <w:rsid w:val="00583479"/>
    <w:rsid w:val="0058426B"/>
    <w:rsid w:val="00584F04"/>
    <w:rsid w:val="00585404"/>
    <w:rsid w:val="0058548C"/>
    <w:rsid w:val="00585B16"/>
    <w:rsid w:val="00585D8D"/>
    <w:rsid w:val="005870D7"/>
    <w:rsid w:val="0058737F"/>
    <w:rsid w:val="005875E4"/>
    <w:rsid w:val="005875EE"/>
    <w:rsid w:val="0059011E"/>
    <w:rsid w:val="005901E1"/>
    <w:rsid w:val="0059096C"/>
    <w:rsid w:val="0059096F"/>
    <w:rsid w:val="00591619"/>
    <w:rsid w:val="00591BC3"/>
    <w:rsid w:val="00592061"/>
    <w:rsid w:val="00593411"/>
    <w:rsid w:val="00593524"/>
    <w:rsid w:val="0059363F"/>
    <w:rsid w:val="00593E92"/>
    <w:rsid w:val="00593FB2"/>
    <w:rsid w:val="00594665"/>
    <w:rsid w:val="0059510A"/>
    <w:rsid w:val="00595FCD"/>
    <w:rsid w:val="005961CB"/>
    <w:rsid w:val="00596559"/>
    <w:rsid w:val="0059677C"/>
    <w:rsid w:val="0059695E"/>
    <w:rsid w:val="0059717B"/>
    <w:rsid w:val="0059740F"/>
    <w:rsid w:val="00597476"/>
    <w:rsid w:val="005974FD"/>
    <w:rsid w:val="005978D6"/>
    <w:rsid w:val="005A001C"/>
    <w:rsid w:val="005A0736"/>
    <w:rsid w:val="005A106C"/>
    <w:rsid w:val="005A1D01"/>
    <w:rsid w:val="005A1E80"/>
    <w:rsid w:val="005A2707"/>
    <w:rsid w:val="005A2774"/>
    <w:rsid w:val="005A2894"/>
    <w:rsid w:val="005A3646"/>
    <w:rsid w:val="005A3B3A"/>
    <w:rsid w:val="005A42E4"/>
    <w:rsid w:val="005A4C4C"/>
    <w:rsid w:val="005A4D29"/>
    <w:rsid w:val="005A4D3B"/>
    <w:rsid w:val="005A4F17"/>
    <w:rsid w:val="005A4FB9"/>
    <w:rsid w:val="005A5309"/>
    <w:rsid w:val="005A58D8"/>
    <w:rsid w:val="005A5CED"/>
    <w:rsid w:val="005A6E30"/>
    <w:rsid w:val="005A6F1D"/>
    <w:rsid w:val="005A7509"/>
    <w:rsid w:val="005A77CF"/>
    <w:rsid w:val="005A7E63"/>
    <w:rsid w:val="005A7F17"/>
    <w:rsid w:val="005A7FFE"/>
    <w:rsid w:val="005B04D7"/>
    <w:rsid w:val="005B1026"/>
    <w:rsid w:val="005B155D"/>
    <w:rsid w:val="005B176B"/>
    <w:rsid w:val="005B192E"/>
    <w:rsid w:val="005B1B92"/>
    <w:rsid w:val="005B21C6"/>
    <w:rsid w:val="005B2973"/>
    <w:rsid w:val="005B3893"/>
    <w:rsid w:val="005B3A08"/>
    <w:rsid w:val="005B43F5"/>
    <w:rsid w:val="005B47C4"/>
    <w:rsid w:val="005B48EE"/>
    <w:rsid w:val="005B54EE"/>
    <w:rsid w:val="005B5593"/>
    <w:rsid w:val="005B5D80"/>
    <w:rsid w:val="005B6DA9"/>
    <w:rsid w:val="005B712D"/>
    <w:rsid w:val="005B7434"/>
    <w:rsid w:val="005B7437"/>
    <w:rsid w:val="005C0652"/>
    <w:rsid w:val="005C0717"/>
    <w:rsid w:val="005C1859"/>
    <w:rsid w:val="005C219A"/>
    <w:rsid w:val="005C2265"/>
    <w:rsid w:val="005C2954"/>
    <w:rsid w:val="005C29F0"/>
    <w:rsid w:val="005C3007"/>
    <w:rsid w:val="005C3647"/>
    <w:rsid w:val="005C39D4"/>
    <w:rsid w:val="005C3D02"/>
    <w:rsid w:val="005C44F3"/>
    <w:rsid w:val="005C46D3"/>
    <w:rsid w:val="005C4F4F"/>
    <w:rsid w:val="005C574B"/>
    <w:rsid w:val="005C5B52"/>
    <w:rsid w:val="005C5D7E"/>
    <w:rsid w:val="005C694A"/>
    <w:rsid w:val="005C708C"/>
    <w:rsid w:val="005C70AD"/>
    <w:rsid w:val="005D0DD8"/>
    <w:rsid w:val="005D0FFC"/>
    <w:rsid w:val="005D1466"/>
    <w:rsid w:val="005D197E"/>
    <w:rsid w:val="005D1B33"/>
    <w:rsid w:val="005D2C5F"/>
    <w:rsid w:val="005D328D"/>
    <w:rsid w:val="005D3499"/>
    <w:rsid w:val="005D34C9"/>
    <w:rsid w:val="005D3756"/>
    <w:rsid w:val="005D3961"/>
    <w:rsid w:val="005D3B16"/>
    <w:rsid w:val="005D457E"/>
    <w:rsid w:val="005D4C79"/>
    <w:rsid w:val="005D587E"/>
    <w:rsid w:val="005D58E0"/>
    <w:rsid w:val="005D5FCC"/>
    <w:rsid w:val="005D61FE"/>
    <w:rsid w:val="005D625E"/>
    <w:rsid w:val="005D6764"/>
    <w:rsid w:val="005D6BC7"/>
    <w:rsid w:val="005D6C7A"/>
    <w:rsid w:val="005D72D5"/>
    <w:rsid w:val="005D737A"/>
    <w:rsid w:val="005D7612"/>
    <w:rsid w:val="005D7ED7"/>
    <w:rsid w:val="005E0341"/>
    <w:rsid w:val="005E0354"/>
    <w:rsid w:val="005E061F"/>
    <w:rsid w:val="005E06F0"/>
    <w:rsid w:val="005E0870"/>
    <w:rsid w:val="005E11EA"/>
    <w:rsid w:val="005E1335"/>
    <w:rsid w:val="005E18F9"/>
    <w:rsid w:val="005E22DD"/>
    <w:rsid w:val="005E240D"/>
    <w:rsid w:val="005E249A"/>
    <w:rsid w:val="005E367A"/>
    <w:rsid w:val="005E4815"/>
    <w:rsid w:val="005E4958"/>
    <w:rsid w:val="005E4C04"/>
    <w:rsid w:val="005E5241"/>
    <w:rsid w:val="005E52EB"/>
    <w:rsid w:val="005E53A6"/>
    <w:rsid w:val="005E6614"/>
    <w:rsid w:val="005E6AF1"/>
    <w:rsid w:val="005E6DD0"/>
    <w:rsid w:val="005E71BC"/>
    <w:rsid w:val="005E71C7"/>
    <w:rsid w:val="005F0171"/>
    <w:rsid w:val="005F02D7"/>
    <w:rsid w:val="005F0663"/>
    <w:rsid w:val="005F1694"/>
    <w:rsid w:val="005F17BA"/>
    <w:rsid w:val="005F2A88"/>
    <w:rsid w:val="005F3088"/>
    <w:rsid w:val="005F3193"/>
    <w:rsid w:val="005F31E4"/>
    <w:rsid w:val="005F3517"/>
    <w:rsid w:val="005F3970"/>
    <w:rsid w:val="005F3D41"/>
    <w:rsid w:val="005F42D0"/>
    <w:rsid w:val="005F433D"/>
    <w:rsid w:val="005F434D"/>
    <w:rsid w:val="005F4629"/>
    <w:rsid w:val="005F4E0C"/>
    <w:rsid w:val="005F4F12"/>
    <w:rsid w:val="005F4FC7"/>
    <w:rsid w:val="005F5494"/>
    <w:rsid w:val="005F6150"/>
    <w:rsid w:val="005F6FA5"/>
    <w:rsid w:val="005F7C2C"/>
    <w:rsid w:val="00600D30"/>
    <w:rsid w:val="00600DB4"/>
    <w:rsid w:val="00601C86"/>
    <w:rsid w:val="00601DA7"/>
    <w:rsid w:val="00601E06"/>
    <w:rsid w:val="00602004"/>
    <w:rsid w:val="00602057"/>
    <w:rsid w:val="006023A4"/>
    <w:rsid w:val="006026A2"/>
    <w:rsid w:val="006033D2"/>
    <w:rsid w:val="00605000"/>
    <w:rsid w:val="00605CB6"/>
    <w:rsid w:val="00606DDB"/>
    <w:rsid w:val="00606E84"/>
    <w:rsid w:val="00607179"/>
    <w:rsid w:val="00607ECB"/>
    <w:rsid w:val="00610B12"/>
    <w:rsid w:val="006110D1"/>
    <w:rsid w:val="00611983"/>
    <w:rsid w:val="00611E15"/>
    <w:rsid w:val="006128D0"/>
    <w:rsid w:val="006129BE"/>
    <w:rsid w:val="006141DA"/>
    <w:rsid w:val="00614C45"/>
    <w:rsid w:val="006150DA"/>
    <w:rsid w:val="00615160"/>
    <w:rsid w:val="006157AA"/>
    <w:rsid w:val="00615C1C"/>
    <w:rsid w:val="00615EA9"/>
    <w:rsid w:val="00615EBA"/>
    <w:rsid w:val="006166FA"/>
    <w:rsid w:val="006171FF"/>
    <w:rsid w:val="006174B9"/>
    <w:rsid w:val="00620065"/>
    <w:rsid w:val="00620346"/>
    <w:rsid w:val="0062034D"/>
    <w:rsid w:val="00620675"/>
    <w:rsid w:val="0062324F"/>
    <w:rsid w:val="00624027"/>
    <w:rsid w:val="00624535"/>
    <w:rsid w:val="00624B5D"/>
    <w:rsid w:val="00624BF7"/>
    <w:rsid w:val="00624D91"/>
    <w:rsid w:val="006252FE"/>
    <w:rsid w:val="00625523"/>
    <w:rsid w:val="00625916"/>
    <w:rsid w:val="0062677A"/>
    <w:rsid w:val="006267B6"/>
    <w:rsid w:val="0062736C"/>
    <w:rsid w:val="006276F5"/>
    <w:rsid w:val="00630715"/>
    <w:rsid w:val="006307F3"/>
    <w:rsid w:val="00630EDE"/>
    <w:rsid w:val="00630F6C"/>
    <w:rsid w:val="006320C3"/>
    <w:rsid w:val="006323AC"/>
    <w:rsid w:val="006323BA"/>
    <w:rsid w:val="0063259F"/>
    <w:rsid w:val="00632EF9"/>
    <w:rsid w:val="006338A1"/>
    <w:rsid w:val="006338F9"/>
    <w:rsid w:val="00634927"/>
    <w:rsid w:val="006358F2"/>
    <w:rsid w:val="006370BD"/>
    <w:rsid w:val="00637A1C"/>
    <w:rsid w:val="00637DDC"/>
    <w:rsid w:val="00640897"/>
    <w:rsid w:val="00640B95"/>
    <w:rsid w:val="00640FB4"/>
    <w:rsid w:val="006412EC"/>
    <w:rsid w:val="00641459"/>
    <w:rsid w:val="0064151E"/>
    <w:rsid w:val="0064164A"/>
    <w:rsid w:val="00641895"/>
    <w:rsid w:val="00641B9A"/>
    <w:rsid w:val="00642087"/>
    <w:rsid w:val="0064292C"/>
    <w:rsid w:val="006430AF"/>
    <w:rsid w:val="006439B2"/>
    <w:rsid w:val="006449FD"/>
    <w:rsid w:val="00644CB1"/>
    <w:rsid w:val="00645158"/>
    <w:rsid w:val="0064544B"/>
    <w:rsid w:val="00645E28"/>
    <w:rsid w:val="0064608A"/>
    <w:rsid w:val="006462F5"/>
    <w:rsid w:val="006468F0"/>
    <w:rsid w:val="006469B7"/>
    <w:rsid w:val="00646BD0"/>
    <w:rsid w:val="0064719B"/>
    <w:rsid w:val="00647385"/>
    <w:rsid w:val="006473EF"/>
    <w:rsid w:val="00647B47"/>
    <w:rsid w:val="00647B53"/>
    <w:rsid w:val="00650D76"/>
    <w:rsid w:val="00651676"/>
    <w:rsid w:val="00651A28"/>
    <w:rsid w:val="00651E0C"/>
    <w:rsid w:val="00651FAD"/>
    <w:rsid w:val="0065263E"/>
    <w:rsid w:val="0065268C"/>
    <w:rsid w:val="00652A8F"/>
    <w:rsid w:val="00653053"/>
    <w:rsid w:val="00653B8E"/>
    <w:rsid w:val="00653B9B"/>
    <w:rsid w:val="00653BC3"/>
    <w:rsid w:val="00653D64"/>
    <w:rsid w:val="00653DAE"/>
    <w:rsid w:val="00654894"/>
    <w:rsid w:val="00654B81"/>
    <w:rsid w:val="00654CB0"/>
    <w:rsid w:val="006565CD"/>
    <w:rsid w:val="0065696F"/>
    <w:rsid w:val="00656E9B"/>
    <w:rsid w:val="00656F99"/>
    <w:rsid w:val="00657188"/>
    <w:rsid w:val="00657263"/>
    <w:rsid w:val="006572C9"/>
    <w:rsid w:val="00657316"/>
    <w:rsid w:val="00657819"/>
    <w:rsid w:val="006600FD"/>
    <w:rsid w:val="00660B7C"/>
    <w:rsid w:val="00660BDC"/>
    <w:rsid w:val="00661749"/>
    <w:rsid w:val="00661D18"/>
    <w:rsid w:val="00661ECC"/>
    <w:rsid w:val="00661F11"/>
    <w:rsid w:val="00662FA3"/>
    <w:rsid w:val="006634E7"/>
    <w:rsid w:val="00663F09"/>
    <w:rsid w:val="0066449B"/>
    <w:rsid w:val="00664BD1"/>
    <w:rsid w:val="00665071"/>
    <w:rsid w:val="00665231"/>
    <w:rsid w:val="00666548"/>
    <w:rsid w:val="006665B9"/>
    <w:rsid w:val="00666F3E"/>
    <w:rsid w:val="006671A3"/>
    <w:rsid w:val="00667472"/>
    <w:rsid w:val="006676F8"/>
    <w:rsid w:val="00667D90"/>
    <w:rsid w:val="00670103"/>
    <w:rsid w:val="006707CB"/>
    <w:rsid w:val="00671279"/>
    <w:rsid w:val="00671A57"/>
    <w:rsid w:val="00671D26"/>
    <w:rsid w:val="00673935"/>
    <w:rsid w:val="00673A60"/>
    <w:rsid w:val="00673FF6"/>
    <w:rsid w:val="006741BA"/>
    <w:rsid w:val="006749D4"/>
    <w:rsid w:val="00674A49"/>
    <w:rsid w:val="0067509D"/>
    <w:rsid w:val="0067541D"/>
    <w:rsid w:val="00675D63"/>
    <w:rsid w:val="00676012"/>
    <w:rsid w:val="00677177"/>
    <w:rsid w:val="00677388"/>
    <w:rsid w:val="0067780D"/>
    <w:rsid w:val="00680274"/>
    <w:rsid w:val="00680AC6"/>
    <w:rsid w:val="006811EB"/>
    <w:rsid w:val="0068125B"/>
    <w:rsid w:val="00682441"/>
    <w:rsid w:val="006829CE"/>
    <w:rsid w:val="00683888"/>
    <w:rsid w:val="0068400B"/>
    <w:rsid w:val="0068482A"/>
    <w:rsid w:val="00684B01"/>
    <w:rsid w:val="00685125"/>
    <w:rsid w:val="006851BE"/>
    <w:rsid w:val="00685AB8"/>
    <w:rsid w:val="00685DE9"/>
    <w:rsid w:val="00685F4A"/>
    <w:rsid w:val="00686192"/>
    <w:rsid w:val="00686731"/>
    <w:rsid w:val="00686DCB"/>
    <w:rsid w:val="00686EBA"/>
    <w:rsid w:val="00686F0F"/>
    <w:rsid w:val="0068711C"/>
    <w:rsid w:val="00687376"/>
    <w:rsid w:val="00687717"/>
    <w:rsid w:val="00687B51"/>
    <w:rsid w:val="00687C22"/>
    <w:rsid w:val="00690666"/>
    <w:rsid w:val="00691099"/>
    <w:rsid w:val="00691F19"/>
    <w:rsid w:val="0069228C"/>
    <w:rsid w:val="00692C34"/>
    <w:rsid w:val="00693006"/>
    <w:rsid w:val="006936D3"/>
    <w:rsid w:val="00694174"/>
    <w:rsid w:val="006944C6"/>
    <w:rsid w:val="006952E4"/>
    <w:rsid w:val="00695ADA"/>
    <w:rsid w:val="00696526"/>
    <w:rsid w:val="006976D2"/>
    <w:rsid w:val="00697E46"/>
    <w:rsid w:val="006A168E"/>
    <w:rsid w:val="006A1DCC"/>
    <w:rsid w:val="006A2093"/>
    <w:rsid w:val="006A2573"/>
    <w:rsid w:val="006A2916"/>
    <w:rsid w:val="006A294E"/>
    <w:rsid w:val="006A29E3"/>
    <w:rsid w:val="006A2A34"/>
    <w:rsid w:val="006A2BA0"/>
    <w:rsid w:val="006A3591"/>
    <w:rsid w:val="006A36A5"/>
    <w:rsid w:val="006A3A7D"/>
    <w:rsid w:val="006A49DA"/>
    <w:rsid w:val="006A4C20"/>
    <w:rsid w:val="006A4F98"/>
    <w:rsid w:val="006A54A5"/>
    <w:rsid w:val="006A5555"/>
    <w:rsid w:val="006A55C6"/>
    <w:rsid w:val="006A5723"/>
    <w:rsid w:val="006A581F"/>
    <w:rsid w:val="006A638F"/>
    <w:rsid w:val="006A63E1"/>
    <w:rsid w:val="006A64B9"/>
    <w:rsid w:val="006A6B26"/>
    <w:rsid w:val="006A6B4A"/>
    <w:rsid w:val="006B0123"/>
    <w:rsid w:val="006B18A0"/>
    <w:rsid w:val="006B212E"/>
    <w:rsid w:val="006B232B"/>
    <w:rsid w:val="006B2593"/>
    <w:rsid w:val="006B25CA"/>
    <w:rsid w:val="006B26FB"/>
    <w:rsid w:val="006B2F9B"/>
    <w:rsid w:val="006B32F4"/>
    <w:rsid w:val="006B3835"/>
    <w:rsid w:val="006B3DC9"/>
    <w:rsid w:val="006B3DD0"/>
    <w:rsid w:val="006B477D"/>
    <w:rsid w:val="006B4BF0"/>
    <w:rsid w:val="006B5412"/>
    <w:rsid w:val="006B54C0"/>
    <w:rsid w:val="006B6235"/>
    <w:rsid w:val="006B63B3"/>
    <w:rsid w:val="006B6ABC"/>
    <w:rsid w:val="006B6BD7"/>
    <w:rsid w:val="006B7CE7"/>
    <w:rsid w:val="006B7EAB"/>
    <w:rsid w:val="006B7EAC"/>
    <w:rsid w:val="006C0285"/>
    <w:rsid w:val="006C02F4"/>
    <w:rsid w:val="006C0580"/>
    <w:rsid w:val="006C10F7"/>
    <w:rsid w:val="006C121A"/>
    <w:rsid w:val="006C1326"/>
    <w:rsid w:val="006C1DF0"/>
    <w:rsid w:val="006C2DB4"/>
    <w:rsid w:val="006C2E16"/>
    <w:rsid w:val="006C3395"/>
    <w:rsid w:val="006C3CEC"/>
    <w:rsid w:val="006C4896"/>
    <w:rsid w:val="006C4A59"/>
    <w:rsid w:val="006C5544"/>
    <w:rsid w:val="006C59BD"/>
    <w:rsid w:val="006C5BB9"/>
    <w:rsid w:val="006C5BF0"/>
    <w:rsid w:val="006C603B"/>
    <w:rsid w:val="006C6271"/>
    <w:rsid w:val="006C6C6D"/>
    <w:rsid w:val="006C77E5"/>
    <w:rsid w:val="006C7DE1"/>
    <w:rsid w:val="006C7E86"/>
    <w:rsid w:val="006D0041"/>
    <w:rsid w:val="006D023E"/>
    <w:rsid w:val="006D0256"/>
    <w:rsid w:val="006D0CE0"/>
    <w:rsid w:val="006D10CE"/>
    <w:rsid w:val="006D17A5"/>
    <w:rsid w:val="006D1976"/>
    <w:rsid w:val="006D1C2A"/>
    <w:rsid w:val="006D2DC2"/>
    <w:rsid w:val="006D2F8F"/>
    <w:rsid w:val="006D2FE6"/>
    <w:rsid w:val="006D3734"/>
    <w:rsid w:val="006D3AA7"/>
    <w:rsid w:val="006D3E5C"/>
    <w:rsid w:val="006D4AC7"/>
    <w:rsid w:val="006D6295"/>
    <w:rsid w:val="006D66B2"/>
    <w:rsid w:val="006D684F"/>
    <w:rsid w:val="006D6978"/>
    <w:rsid w:val="006D6B1D"/>
    <w:rsid w:val="006D6B22"/>
    <w:rsid w:val="006D7483"/>
    <w:rsid w:val="006D765A"/>
    <w:rsid w:val="006E0099"/>
    <w:rsid w:val="006E032A"/>
    <w:rsid w:val="006E0DC8"/>
    <w:rsid w:val="006E12C2"/>
    <w:rsid w:val="006E1925"/>
    <w:rsid w:val="006E1A57"/>
    <w:rsid w:val="006E1C22"/>
    <w:rsid w:val="006E2965"/>
    <w:rsid w:val="006E2B47"/>
    <w:rsid w:val="006E42B1"/>
    <w:rsid w:val="006E47F7"/>
    <w:rsid w:val="006E48A5"/>
    <w:rsid w:val="006E4A04"/>
    <w:rsid w:val="006E4D4B"/>
    <w:rsid w:val="006E563D"/>
    <w:rsid w:val="006E57F8"/>
    <w:rsid w:val="006E748C"/>
    <w:rsid w:val="006E79E0"/>
    <w:rsid w:val="006F0B38"/>
    <w:rsid w:val="006F0E02"/>
    <w:rsid w:val="006F26FF"/>
    <w:rsid w:val="006F2864"/>
    <w:rsid w:val="006F4851"/>
    <w:rsid w:val="006F5B5D"/>
    <w:rsid w:val="006F5B94"/>
    <w:rsid w:val="006F6539"/>
    <w:rsid w:val="006F65F7"/>
    <w:rsid w:val="006F70D4"/>
    <w:rsid w:val="006F7272"/>
    <w:rsid w:val="00700794"/>
    <w:rsid w:val="00700967"/>
    <w:rsid w:val="00700B79"/>
    <w:rsid w:val="00700C3A"/>
    <w:rsid w:val="00700C67"/>
    <w:rsid w:val="00700D5B"/>
    <w:rsid w:val="00700D9D"/>
    <w:rsid w:val="00701600"/>
    <w:rsid w:val="0070186B"/>
    <w:rsid w:val="00701973"/>
    <w:rsid w:val="00701B12"/>
    <w:rsid w:val="0070206D"/>
    <w:rsid w:val="00702BC3"/>
    <w:rsid w:val="00702C4D"/>
    <w:rsid w:val="00703674"/>
    <w:rsid w:val="00703EDA"/>
    <w:rsid w:val="00704549"/>
    <w:rsid w:val="00705BD0"/>
    <w:rsid w:val="00706F4F"/>
    <w:rsid w:val="0070707A"/>
    <w:rsid w:val="00707111"/>
    <w:rsid w:val="007074CC"/>
    <w:rsid w:val="00707A44"/>
    <w:rsid w:val="00707FD8"/>
    <w:rsid w:val="007103C3"/>
    <w:rsid w:val="00710EA5"/>
    <w:rsid w:val="00711CD0"/>
    <w:rsid w:val="007128ED"/>
    <w:rsid w:val="00712A60"/>
    <w:rsid w:val="0071354C"/>
    <w:rsid w:val="00713A93"/>
    <w:rsid w:val="00713E7C"/>
    <w:rsid w:val="00713ED8"/>
    <w:rsid w:val="00714B2F"/>
    <w:rsid w:val="00714D30"/>
    <w:rsid w:val="00715ACE"/>
    <w:rsid w:val="00715D5B"/>
    <w:rsid w:val="00715F78"/>
    <w:rsid w:val="00715F7E"/>
    <w:rsid w:val="00716808"/>
    <w:rsid w:val="00717BCB"/>
    <w:rsid w:val="00717E65"/>
    <w:rsid w:val="0072033C"/>
    <w:rsid w:val="0072073A"/>
    <w:rsid w:val="0072088D"/>
    <w:rsid w:val="007210D8"/>
    <w:rsid w:val="007211BE"/>
    <w:rsid w:val="00721B34"/>
    <w:rsid w:val="00721DA0"/>
    <w:rsid w:val="0072235A"/>
    <w:rsid w:val="0072278A"/>
    <w:rsid w:val="007229C6"/>
    <w:rsid w:val="00723605"/>
    <w:rsid w:val="00723BD2"/>
    <w:rsid w:val="00723EE4"/>
    <w:rsid w:val="00724013"/>
    <w:rsid w:val="0072456A"/>
    <w:rsid w:val="00724833"/>
    <w:rsid w:val="0072487C"/>
    <w:rsid w:val="007252D6"/>
    <w:rsid w:val="007252F3"/>
    <w:rsid w:val="0072552D"/>
    <w:rsid w:val="007255CC"/>
    <w:rsid w:val="00725694"/>
    <w:rsid w:val="00726099"/>
    <w:rsid w:val="00726E72"/>
    <w:rsid w:val="00727B63"/>
    <w:rsid w:val="00730F0D"/>
    <w:rsid w:val="00731D08"/>
    <w:rsid w:val="00732FB8"/>
    <w:rsid w:val="0073307A"/>
    <w:rsid w:val="00733608"/>
    <w:rsid w:val="007336FA"/>
    <w:rsid w:val="00733873"/>
    <w:rsid w:val="00733CA8"/>
    <w:rsid w:val="00734350"/>
    <w:rsid w:val="0073460D"/>
    <w:rsid w:val="007346C0"/>
    <w:rsid w:val="0073524E"/>
    <w:rsid w:val="0073569F"/>
    <w:rsid w:val="00735EA8"/>
    <w:rsid w:val="007372F1"/>
    <w:rsid w:val="0073744C"/>
    <w:rsid w:val="00737A1D"/>
    <w:rsid w:val="00737E8B"/>
    <w:rsid w:val="007407D2"/>
    <w:rsid w:val="0074099D"/>
    <w:rsid w:val="00740E64"/>
    <w:rsid w:val="007415C9"/>
    <w:rsid w:val="00741862"/>
    <w:rsid w:val="007419FE"/>
    <w:rsid w:val="00741B84"/>
    <w:rsid w:val="00741D4E"/>
    <w:rsid w:val="00741F77"/>
    <w:rsid w:val="00742B03"/>
    <w:rsid w:val="007434D2"/>
    <w:rsid w:val="00743A5E"/>
    <w:rsid w:val="00743CF6"/>
    <w:rsid w:val="00743E06"/>
    <w:rsid w:val="007447B0"/>
    <w:rsid w:val="00744C1F"/>
    <w:rsid w:val="007452FD"/>
    <w:rsid w:val="00745CC9"/>
    <w:rsid w:val="00745EF5"/>
    <w:rsid w:val="007461F6"/>
    <w:rsid w:val="00746640"/>
    <w:rsid w:val="00746C0D"/>
    <w:rsid w:val="00746FAC"/>
    <w:rsid w:val="00746FE5"/>
    <w:rsid w:val="007504F8"/>
    <w:rsid w:val="007505A8"/>
    <w:rsid w:val="0075078D"/>
    <w:rsid w:val="00750857"/>
    <w:rsid w:val="00750868"/>
    <w:rsid w:val="007513F8"/>
    <w:rsid w:val="00751763"/>
    <w:rsid w:val="007520C8"/>
    <w:rsid w:val="007534F3"/>
    <w:rsid w:val="0075376F"/>
    <w:rsid w:val="00753852"/>
    <w:rsid w:val="00753D89"/>
    <w:rsid w:val="00754E97"/>
    <w:rsid w:val="007553E5"/>
    <w:rsid w:val="007553FF"/>
    <w:rsid w:val="00755C23"/>
    <w:rsid w:val="00756449"/>
    <w:rsid w:val="00756B72"/>
    <w:rsid w:val="007570CB"/>
    <w:rsid w:val="007579EB"/>
    <w:rsid w:val="00757FC2"/>
    <w:rsid w:val="00760787"/>
    <w:rsid w:val="00760C0E"/>
    <w:rsid w:val="00761211"/>
    <w:rsid w:val="00761EE7"/>
    <w:rsid w:val="007620AB"/>
    <w:rsid w:val="0076224D"/>
    <w:rsid w:val="00762499"/>
    <w:rsid w:val="00762ABC"/>
    <w:rsid w:val="00762E17"/>
    <w:rsid w:val="00762E56"/>
    <w:rsid w:val="0076306B"/>
    <w:rsid w:val="007630F6"/>
    <w:rsid w:val="007633D2"/>
    <w:rsid w:val="0076353B"/>
    <w:rsid w:val="00763637"/>
    <w:rsid w:val="00763D46"/>
    <w:rsid w:val="00763D96"/>
    <w:rsid w:val="00763F28"/>
    <w:rsid w:val="007642B0"/>
    <w:rsid w:val="00764ACB"/>
    <w:rsid w:val="00765290"/>
    <w:rsid w:val="00765A9C"/>
    <w:rsid w:val="00765E43"/>
    <w:rsid w:val="00766179"/>
    <w:rsid w:val="00766A7A"/>
    <w:rsid w:val="00766E00"/>
    <w:rsid w:val="00767532"/>
    <w:rsid w:val="00767C91"/>
    <w:rsid w:val="00767EFE"/>
    <w:rsid w:val="007704C1"/>
    <w:rsid w:val="00770A97"/>
    <w:rsid w:val="00770C52"/>
    <w:rsid w:val="00771FD7"/>
    <w:rsid w:val="0077200F"/>
    <w:rsid w:val="00772280"/>
    <w:rsid w:val="0077353A"/>
    <w:rsid w:val="00774087"/>
    <w:rsid w:val="007747CD"/>
    <w:rsid w:val="00774D4E"/>
    <w:rsid w:val="00774EB2"/>
    <w:rsid w:val="00775CCC"/>
    <w:rsid w:val="00775D65"/>
    <w:rsid w:val="007769C0"/>
    <w:rsid w:val="00776ACF"/>
    <w:rsid w:val="00777307"/>
    <w:rsid w:val="0077761E"/>
    <w:rsid w:val="007779A2"/>
    <w:rsid w:val="00777EA8"/>
    <w:rsid w:val="00780338"/>
    <w:rsid w:val="007814A4"/>
    <w:rsid w:val="0078168D"/>
    <w:rsid w:val="0078171D"/>
    <w:rsid w:val="00781D3D"/>
    <w:rsid w:val="00783116"/>
    <w:rsid w:val="0078331E"/>
    <w:rsid w:val="00783A6C"/>
    <w:rsid w:val="00783E4E"/>
    <w:rsid w:val="00783F42"/>
    <w:rsid w:val="00784DAA"/>
    <w:rsid w:val="00784F74"/>
    <w:rsid w:val="0078578E"/>
    <w:rsid w:val="007864AD"/>
    <w:rsid w:val="007866A9"/>
    <w:rsid w:val="00786BB1"/>
    <w:rsid w:val="00787788"/>
    <w:rsid w:val="007877F4"/>
    <w:rsid w:val="00787C93"/>
    <w:rsid w:val="00791EBB"/>
    <w:rsid w:val="00792804"/>
    <w:rsid w:val="00792EBB"/>
    <w:rsid w:val="00792FD3"/>
    <w:rsid w:val="0079331B"/>
    <w:rsid w:val="007933BD"/>
    <w:rsid w:val="00793A84"/>
    <w:rsid w:val="00794430"/>
    <w:rsid w:val="0079468F"/>
    <w:rsid w:val="007948C8"/>
    <w:rsid w:val="00794ADC"/>
    <w:rsid w:val="00794B64"/>
    <w:rsid w:val="0079515C"/>
    <w:rsid w:val="00795CFA"/>
    <w:rsid w:val="0079633A"/>
    <w:rsid w:val="00796D63"/>
    <w:rsid w:val="00796F2F"/>
    <w:rsid w:val="007970FD"/>
    <w:rsid w:val="007976CC"/>
    <w:rsid w:val="00797E1F"/>
    <w:rsid w:val="00797F5A"/>
    <w:rsid w:val="007A00EB"/>
    <w:rsid w:val="007A053B"/>
    <w:rsid w:val="007A0956"/>
    <w:rsid w:val="007A1ABA"/>
    <w:rsid w:val="007A1B34"/>
    <w:rsid w:val="007A1D8A"/>
    <w:rsid w:val="007A1E33"/>
    <w:rsid w:val="007A289C"/>
    <w:rsid w:val="007A2DE2"/>
    <w:rsid w:val="007A332A"/>
    <w:rsid w:val="007A3431"/>
    <w:rsid w:val="007A3AAF"/>
    <w:rsid w:val="007A3CB8"/>
    <w:rsid w:val="007A3F2A"/>
    <w:rsid w:val="007A4504"/>
    <w:rsid w:val="007A4B21"/>
    <w:rsid w:val="007A5561"/>
    <w:rsid w:val="007A5EBA"/>
    <w:rsid w:val="007A610B"/>
    <w:rsid w:val="007A6603"/>
    <w:rsid w:val="007A70A6"/>
    <w:rsid w:val="007A7277"/>
    <w:rsid w:val="007B07C3"/>
    <w:rsid w:val="007B083D"/>
    <w:rsid w:val="007B0F36"/>
    <w:rsid w:val="007B106B"/>
    <w:rsid w:val="007B17CA"/>
    <w:rsid w:val="007B18B7"/>
    <w:rsid w:val="007B26C5"/>
    <w:rsid w:val="007B315C"/>
    <w:rsid w:val="007B43D8"/>
    <w:rsid w:val="007B4F72"/>
    <w:rsid w:val="007B55B6"/>
    <w:rsid w:val="007B5A2F"/>
    <w:rsid w:val="007B5CAE"/>
    <w:rsid w:val="007B5EE6"/>
    <w:rsid w:val="007B6484"/>
    <w:rsid w:val="007B6653"/>
    <w:rsid w:val="007B6752"/>
    <w:rsid w:val="007B6955"/>
    <w:rsid w:val="007B6AEA"/>
    <w:rsid w:val="007B7F06"/>
    <w:rsid w:val="007C00CF"/>
    <w:rsid w:val="007C00F0"/>
    <w:rsid w:val="007C01D1"/>
    <w:rsid w:val="007C021B"/>
    <w:rsid w:val="007C0EF9"/>
    <w:rsid w:val="007C1640"/>
    <w:rsid w:val="007C296A"/>
    <w:rsid w:val="007C32D6"/>
    <w:rsid w:val="007C337B"/>
    <w:rsid w:val="007C3B7A"/>
    <w:rsid w:val="007C4259"/>
    <w:rsid w:val="007C4515"/>
    <w:rsid w:val="007C4A20"/>
    <w:rsid w:val="007C569F"/>
    <w:rsid w:val="007C69BF"/>
    <w:rsid w:val="007C6C2E"/>
    <w:rsid w:val="007D0096"/>
    <w:rsid w:val="007D0173"/>
    <w:rsid w:val="007D053D"/>
    <w:rsid w:val="007D0D1D"/>
    <w:rsid w:val="007D0F8E"/>
    <w:rsid w:val="007D1100"/>
    <w:rsid w:val="007D12CB"/>
    <w:rsid w:val="007D3136"/>
    <w:rsid w:val="007D367E"/>
    <w:rsid w:val="007D40AA"/>
    <w:rsid w:val="007D42F0"/>
    <w:rsid w:val="007D44D3"/>
    <w:rsid w:val="007D4703"/>
    <w:rsid w:val="007D49C4"/>
    <w:rsid w:val="007D4FB4"/>
    <w:rsid w:val="007D516D"/>
    <w:rsid w:val="007D5850"/>
    <w:rsid w:val="007D5875"/>
    <w:rsid w:val="007D6672"/>
    <w:rsid w:val="007D66C1"/>
    <w:rsid w:val="007D6D7C"/>
    <w:rsid w:val="007D7283"/>
    <w:rsid w:val="007D7362"/>
    <w:rsid w:val="007D7B8C"/>
    <w:rsid w:val="007E0AA8"/>
    <w:rsid w:val="007E154B"/>
    <w:rsid w:val="007E2176"/>
    <w:rsid w:val="007E2809"/>
    <w:rsid w:val="007E2A70"/>
    <w:rsid w:val="007E2AE0"/>
    <w:rsid w:val="007E3242"/>
    <w:rsid w:val="007E338F"/>
    <w:rsid w:val="007E3EC9"/>
    <w:rsid w:val="007E43D1"/>
    <w:rsid w:val="007E48B5"/>
    <w:rsid w:val="007E4E0D"/>
    <w:rsid w:val="007E4F44"/>
    <w:rsid w:val="007E5B7B"/>
    <w:rsid w:val="007E5D1A"/>
    <w:rsid w:val="007E5DB5"/>
    <w:rsid w:val="007E6291"/>
    <w:rsid w:val="007E6633"/>
    <w:rsid w:val="007E69B2"/>
    <w:rsid w:val="007E6A1B"/>
    <w:rsid w:val="007E6B30"/>
    <w:rsid w:val="007E72FE"/>
    <w:rsid w:val="007E73A4"/>
    <w:rsid w:val="007E76E5"/>
    <w:rsid w:val="007E7769"/>
    <w:rsid w:val="007E77AC"/>
    <w:rsid w:val="007F0782"/>
    <w:rsid w:val="007F116A"/>
    <w:rsid w:val="007F11E3"/>
    <w:rsid w:val="007F15D4"/>
    <w:rsid w:val="007F1C4F"/>
    <w:rsid w:val="007F2AA5"/>
    <w:rsid w:val="007F309F"/>
    <w:rsid w:val="007F43B7"/>
    <w:rsid w:val="007F5072"/>
    <w:rsid w:val="007F51DD"/>
    <w:rsid w:val="007F576E"/>
    <w:rsid w:val="007F62C8"/>
    <w:rsid w:val="007F783D"/>
    <w:rsid w:val="007F7FF1"/>
    <w:rsid w:val="008007F5"/>
    <w:rsid w:val="00800834"/>
    <w:rsid w:val="00800A85"/>
    <w:rsid w:val="00801367"/>
    <w:rsid w:val="008017E9"/>
    <w:rsid w:val="00801BB2"/>
    <w:rsid w:val="00801E59"/>
    <w:rsid w:val="008022D4"/>
    <w:rsid w:val="00802726"/>
    <w:rsid w:val="008030DD"/>
    <w:rsid w:val="00803584"/>
    <w:rsid w:val="0080359A"/>
    <w:rsid w:val="0080360D"/>
    <w:rsid w:val="00803911"/>
    <w:rsid w:val="00803A2E"/>
    <w:rsid w:val="008042C9"/>
    <w:rsid w:val="008045C9"/>
    <w:rsid w:val="00804817"/>
    <w:rsid w:val="008050E6"/>
    <w:rsid w:val="0080525D"/>
    <w:rsid w:val="00805839"/>
    <w:rsid w:val="00805924"/>
    <w:rsid w:val="0080606D"/>
    <w:rsid w:val="00806E7B"/>
    <w:rsid w:val="008070F8"/>
    <w:rsid w:val="00807B43"/>
    <w:rsid w:val="008103EF"/>
    <w:rsid w:val="00810F2F"/>
    <w:rsid w:val="00811734"/>
    <w:rsid w:val="008117F6"/>
    <w:rsid w:val="00811A1C"/>
    <w:rsid w:val="008120A1"/>
    <w:rsid w:val="0081225D"/>
    <w:rsid w:val="00812465"/>
    <w:rsid w:val="008124D7"/>
    <w:rsid w:val="00812A3E"/>
    <w:rsid w:val="00812F58"/>
    <w:rsid w:val="008139D2"/>
    <w:rsid w:val="00814966"/>
    <w:rsid w:val="00814B70"/>
    <w:rsid w:val="00814DC7"/>
    <w:rsid w:val="00814FD2"/>
    <w:rsid w:val="00815583"/>
    <w:rsid w:val="0081589F"/>
    <w:rsid w:val="00815C4F"/>
    <w:rsid w:val="0081641C"/>
    <w:rsid w:val="00816456"/>
    <w:rsid w:val="00816478"/>
    <w:rsid w:val="00820053"/>
    <w:rsid w:val="0082045D"/>
    <w:rsid w:val="0082109D"/>
    <w:rsid w:val="00821FA4"/>
    <w:rsid w:val="008220E3"/>
    <w:rsid w:val="00823707"/>
    <w:rsid w:val="008237D2"/>
    <w:rsid w:val="00823A1E"/>
    <w:rsid w:val="00824274"/>
    <w:rsid w:val="008244EF"/>
    <w:rsid w:val="00824838"/>
    <w:rsid w:val="008253CB"/>
    <w:rsid w:val="00825CCA"/>
    <w:rsid w:val="00825EAD"/>
    <w:rsid w:val="00826638"/>
    <w:rsid w:val="008266E5"/>
    <w:rsid w:val="008269B0"/>
    <w:rsid w:val="00826A40"/>
    <w:rsid w:val="00826F88"/>
    <w:rsid w:val="00827551"/>
    <w:rsid w:val="008278F3"/>
    <w:rsid w:val="00827B4D"/>
    <w:rsid w:val="00827F25"/>
    <w:rsid w:val="00830ECC"/>
    <w:rsid w:val="00831523"/>
    <w:rsid w:val="00831530"/>
    <w:rsid w:val="008323A5"/>
    <w:rsid w:val="0083274A"/>
    <w:rsid w:val="00832A7C"/>
    <w:rsid w:val="008330D3"/>
    <w:rsid w:val="00833253"/>
    <w:rsid w:val="0083341E"/>
    <w:rsid w:val="00833466"/>
    <w:rsid w:val="008341CC"/>
    <w:rsid w:val="008342EF"/>
    <w:rsid w:val="00834321"/>
    <w:rsid w:val="008343D5"/>
    <w:rsid w:val="00835C2B"/>
    <w:rsid w:val="00835FD3"/>
    <w:rsid w:val="00835FE8"/>
    <w:rsid w:val="00836118"/>
    <w:rsid w:val="00836184"/>
    <w:rsid w:val="00836254"/>
    <w:rsid w:val="008365A7"/>
    <w:rsid w:val="008373B8"/>
    <w:rsid w:val="00840821"/>
    <w:rsid w:val="0084118C"/>
    <w:rsid w:val="00841426"/>
    <w:rsid w:val="00841784"/>
    <w:rsid w:val="00841D8F"/>
    <w:rsid w:val="00842825"/>
    <w:rsid w:val="00842979"/>
    <w:rsid w:val="008444A4"/>
    <w:rsid w:val="00844B64"/>
    <w:rsid w:val="00844B90"/>
    <w:rsid w:val="008452E6"/>
    <w:rsid w:val="00845A85"/>
    <w:rsid w:val="00845D42"/>
    <w:rsid w:val="00846DC8"/>
    <w:rsid w:val="00846F81"/>
    <w:rsid w:val="008474A1"/>
    <w:rsid w:val="0084756A"/>
    <w:rsid w:val="0085010A"/>
    <w:rsid w:val="00850297"/>
    <w:rsid w:val="008505B6"/>
    <w:rsid w:val="00850E33"/>
    <w:rsid w:val="008511BA"/>
    <w:rsid w:val="008515A1"/>
    <w:rsid w:val="00851C35"/>
    <w:rsid w:val="00852425"/>
    <w:rsid w:val="00852694"/>
    <w:rsid w:val="008526B1"/>
    <w:rsid w:val="00852822"/>
    <w:rsid w:val="00852848"/>
    <w:rsid w:val="00852E53"/>
    <w:rsid w:val="00852FE2"/>
    <w:rsid w:val="00853112"/>
    <w:rsid w:val="008540A7"/>
    <w:rsid w:val="00854990"/>
    <w:rsid w:val="008551BE"/>
    <w:rsid w:val="00855D41"/>
    <w:rsid w:val="00855F64"/>
    <w:rsid w:val="008560C8"/>
    <w:rsid w:val="008566CF"/>
    <w:rsid w:val="008568CD"/>
    <w:rsid w:val="00856CDB"/>
    <w:rsid w:val="00856D58"/>
    <w:rsid w:val="0085780F"/>
    <w:rsid w:val="00857A5E"/>
    <w:rsid w:val="00857D70"/>
    <w:rsid w:val="008600B1"/>
    <w:rsid w:val="008606B7"/>
    <w:rsid w:val="00860EE1"/>
    <w:rsid w:val="00861EEE"/>
    <w:rsid w:val="00861F97"/>
    <w:rsid w:val="0086203A"/>
    <w:rsid w:val="00862249"/>
    <w:rsid w:val="00862871"/>
    <w:rsid w:val="00862F22"/>
    <w:rsid w:val="008644B0"/>
    <w:rsid w:val="00865259"/>
    <w:rsid w:val="008652A6"/>
    <w:rsid w:val="008655D3"/>
    <w:rsid w:val="0086618C"/>
    <w:rsid w:val="008663DC"/>
    <w:rsid w:val="00866983"/>
    <w:rsid w:val="00866F95"/>
    <w:rsid w:val="008708EE"/>
    <w:rsid w:val="008710EA"/>
    <w:rsid w:val="00871235"/>
    <w:rsid w:val="008716BD"/>
    <w:rsid w:val="00871A22"/>
    <w:rsid w:val="00871CC2"/>
    <w:rsid w:val="00871F5E"/>
    <w:rsid w:val="00871FA9"/>
    <w:rsid w:val="00872B26"/>
    <w:rsid w:val="008736F9"/>
    <w:rsid w:val="0087375A"/>
    <w:rsid w:val="00873AB0"/>
    <w:rsid w:val="00874163"/>
    <w:rsid w:val="00874586"/>
    <w:rsid w:val="008760EB"/>
    <w:rsid w:val="008761E1"/>
    <w:rsid w:val="00876943"/>
    <w:rsid w:val="00877812"/>
    <w:rsid w:val="00880159"/>
    <w:rsid w:val="008816C3"/>
    <w:rsid w:val="00881CA8"/>
    <w:rsid w:val="008833C8"/>
    <w:rsid w:val="008836FF"/>
    <w:rsid w:val="0088396F"/>
    <w:rsid w:val="00884000"/>
    <w:rsid w:val="008840FF"/>
    <w:rsid w:val="008847B3"/>
    <w:rsid w:val="0088521D"/>
    <w:rsid w:val="00885373"/>
    <w:rsid w:val="0088551F"/>
    <w:rsid w:val="00885654"/>
    <w:rsid w:val="00885869"/>
    <w:rsid w:val="00885973"/>
    <w:rsid w:val="00885AFB"/>
    <w:rsid w:val="00885BEF"/>
    <w:rsid w:val="008864A2"/>
    <w:rsid w:val="00886680"/>
    <w:rsid w:val="008869E2"/>
    <w:rsid w:val="00886A9C"/>
    <w:rsid w:val="00886D00"/>
    <w:rsid w:val="00886E33"/>
    <w:rsid w:val="00887170"/>
    <w:rsid w:val="0089051C"/>
    <w:rsid w:val="00890985"/>
    <w:rsid w:val="00890D24"/>
    <w:rsid w:val="00890DA8"/>
    <w:rsid w:val="00890F6C"/>
    <w:rsid w:val="00893298"/>
    <w:rsid w:val="008937CF"/>
    <w:rsid w:val="008938D7"/>
    <w:rsid w:val="0089393B"/>
    <w:rsid w:val="00893DAC"/>
    <w:rsid w:val="00894809"/>
    <w:rsid w:val="00894C50"/>
    <w:rsid w:val="0089519A"/>
    <w:rsid w:val="0089561E"/>
    <w:rsid w:val="00895F17"/>
    <w:rsid w:val="008969A5"/>
    <w:rsid w:val="0089785F"/>
    <w:rsid w:val="00897E53"/>
    <w:rsid w:val="008A183A"/>
    <w:rsid w:val="008A1A45"/>
    <w:rsid w:val="008A1BE6"/>
    <w:rsid w:val="008A2C87"/>
    <w:rsid w:val="008A2DEA"/>
    <w:rsid w:val="008A368E"/>
    <w:rsid w:val="008A3D26"/>
    <w:rsid w:val="008A3DA4"/>
    <w:rsid w:val="008A450A"/>
    <w:rsid w:val="008A4888"/>
    <w:rsid w:val="008A4A05"/>
    <w:rsid w:val="008A4B80"/>
    <w:rsid w:val="008A51A0"/>
    <w:rsid w:val="008A51FA"/>
    <w:rsid w:val="008A53E6"/>
    <w:rsid w:val="008A5411"/>
    <w:rsid w:val="008A5517"/>
    <w:rsid w:val="008A5BAB"/>
    <w:rsid w:val="008A6186"/>
    <w:rsid w:val="008A6B09"/>
    <w:rsid w:val="008A6DD7"/>
    <w:rsid w:val="008A6F25"/>
    <w:rsid w:val="008A6FD8"/>
    <w:rsid w:val="008A745D"/>
    <w:rsid w:val="008A74EB"/>
    <w:rsid w:val="008A79EB"/>
    <w:rsid w:val="008A7A8E"/>
    <w:rsid w:val="008A7D89"/>
    <w:rsid w:val="008B025F"/>
    <w:rsid w:val="008B0A21"/>
    <w:rsid w:val="008B0A33"/>
    <w:rsid w:val="008B0D69"/>
    <w:rsid w:val="008B1709"/>
    <w:rsid w:val="008B293E"/>
    <w:rsid w:val="008B2B0C"/>
    <w:rsid w:val="008B3088"/>
    <w:rsid w:val="008B35AC"/>
    <w:rsid w:val="008B39D8"/>
    <w:rsid w:val="008B3EE3"/>
    <w:rsid w:val="008B40B2"/>
    <w:rsid w:val="008B4970"/>
    <w:rsid w:val="008B49D7"/>
    <w:rsid w:val="008B53FF"/>
    <w:rsid w:val="008B74EA"/>
    <w:rsid w:val="008C00F1"/>
    <w:rsid w:val="008C084D"/>
    <w:rsid w:val="008C0D37"/>
    <w:rsid w:val="008C1420"/>
    <w:rsid w:val="008C1528"/>
    <w:rsid w:val="008C174C"/>
    <w:rsid w:val="008C1B84"/>
    <w:rsid w:val="008C1C9C"/>
    <w:rsid w:val="008C1F2F"/>
    <w:rsid w:val="008C2598"/>
    <w:rsid w:val="008C2D65"/>
    <w:rsid w:val="008C2DDE"/>
    <w:rsid w:val="008C3BD4"/>
    <w:rsid w:val="008C4035"/>
    <w:rsid w:val="008C408E"/>
    <w:rsid w:val="008C4102"/>
    <w:rsid w:val="008C4450"/>
    <w:rsid w:val="008C477C"/>
    <w:rsid w:val="008C485B"/>
    <w:rsid w:val="008C49E3"/>
    <w:rsid w:val="008C507D"/>
    <w:rsid w:val="008C5080"/>
    <w:rsid w:val="008C50CD"/>
    <w:rsid w:val="008C538B"/>
    <w:rsid w:val="008C583C"/>
    <w:rsid w:val="008C6B35"/>
    <w:rsid w:val="008C760C"/>
    <w:rsid w:val="008C7685"/>
    <w:rsid w:val="008C7919"/>
    <w:rsid w:val="008D0182"/>
    <w:rsid w:val="008D04CB"/>
    <w:rsid w:val="008D0675"/>
    <w:rsid w:val="008D11B0"/>
    <w:rsid w:val="008D1257"/>
    <w:rsid w:val="008D1DA2"/>
    <w:rsid w:val="008D24AC"/>
    <w:rsid w:val="008D2C83"/>
    <w:rsid w:val="008D2F08"/>
    <w:rsid w:val="008D3A77"/>
    <w:rsid w:val="008D3C1D"/>
    <w:rsid w:val="008D56CB"/>
    <w:rsid w:val="008D5731"/>
    <w:rsid w:val="008D5A9C"/>
    <w:rsid w:val="008D5CC8"/>
    <w:rsid w:val="008D60B0"/>
    <w:rsid w:val="008D617E"/>
    <w:rsid w:val="008D67B3"/>
    <w:rsid w:val="008D7033"/>
    <w:rsid w:val="008D7E3F"/>
    <w:rsid w:val="008E1D22"/>
    <w:rsid w:val="008E1ED8"/>
    <w:rsid w:val="008E22D0"/>
    <w:rsid w:val="008E316D"/>
    <w:rsid w:val="008E4C22"/>
    <w:rsid w:val="008E4E06"/>
    <w:rsid w:val="008E52F0"/>
    <w:rsid w:val="008E57BD"/>
    <w:rsid w:val="008E5E97"/>
    <w:rsid w:val="008E604B"/>
    <w:rsid w:val="008E688C"/>
    <w:rsid w:val="008E6E9E"/>
    <w:rsid w:val="008E71FF"/>
    <w:rsid w:val="008E757C"/>
    <w:rsid w:val="008E7B9A"/>
    <w:rsid w:val="008F0D66"/>
    <w:rsid w:val="008F11E4"/>
    <w:rsid w:val="008F14CB"/>
    <w:rsid w:val="008F1D78"/>
    <w:rsid w:val="008F20B3"/>
    <w:rsid w:val="008F2239"/>
    <w:rsid w:val="008F2DB4"/>
    <w:rsid w:val="008F2F9C"/>
    <w:rsid w:val="008F364F"/>
    <w:rsid w:val="008F3DB7"/>
    <w:rsid w:val="008F445A"/>
    <w:rsid w:val="008F47C3"/>
    <w:rsid w:val="008F47E7"/>
    <w:rsid w:val="008F5770"/>
    <w:rsid w:val="008F5EF3"/>
    <w:rsid w:val="008F6757"/>
    <w:rsid w:val="008F67FD"/>
    <w:rsid w:val="008F69B6"/>
    <w:rsid w:val="008F74E9"/>
    <w:rsid w:val="00900313"/>
    <w:rsid w:val="0090058C"/>
    <w:rsid w:val="00900E04"/>
    <w:rsid w:val="00900E6B"/>
    <w:rsid w:val="009010DC"/>
    <w:rsid w:val="009018C1"/>
    <w:rsid w:val="00901FBA"/>
    <w:rsid w:val="009025C5"/>
    <w:rsid w:val="00902816"/>
    <w:rsid w:val="0090304F"/>
    <w:rsid w:val="0090368A"/>
    <w:rsid w:val="009038FB"/>
    <w:rsid w:val="00903B06"/>
    <w:rsid w:val="00903C92"/>
    <w:rsid w:val="00903DBC"/>
    <w:rsid w:val="00904618"/>
    <w:rsid w:val="00905426"/>
    <w:rsid w:val="009055AC"/>
    <w:rsid w:val="00905AF4"/>
    <w:rsid w:val="00905D7B"/>
    <w:rsid w:val="00905E63"/>
    <w:rsid w:val="00906F27"/>
    <w:rsid w:val="009078E9"/>
    <w:rsid w:val="00907C5C"/>
    <w:rsid w:val="00910349"/>
    <w:rsid w:val="00910B72"/>
    <w:rsid w:val="00910F22"/>
    <w:rsid w:val="009128DE"/>
    <w:rsid w:val="00912FB7"/>
    <w:rsid w:val="009132A3"/>
    <w:rsid w:val="00913AE4"/>
    <w:rsid w:val="009141F5"/>
    <w:rsid w:val="009157F0"/>
    <w:rsid w:val="0091589D"/>
    <w:rsid w:val="00915957"/>
    <w:rsid w:val="00915ECE"/>
    <w:rsid w:val="00916B03"/>
    <w:rsid w:val="00916B5A"/>
    <w:rsid w:val="00916E79"/>
    <w:rsid w:val="00917FA5"/>
    <w:rsid w:val="009203DC"/>
    <w:rsid w:val="009205F8"/>
    <w:rsid w:val="009209B4"/>
    <w:rsid w:val="00920AE8"/>
    <w:rsid w:val="0092146D"/>
    <w:rsid w:val="00921A80"/>
    <w:rsid w:val="00922767"/>
    <w:rsid w:val="00923577"/>
    <w:rsid w:val="00923652"/>
    <w:rsid w:val="00923DF7"/>
    <w:rsid w:val="009242C4"/>
    <w:rsid w:val="009243AD"/>
    <w:rsid w:val="009247F9"/>
    <w:rsid w:val="00926036"/>
    <w:rsid w:val="00926B99"/>
    <w:rsid w:val="00926EC2"/>
    <w:rsid w:val="00926FCA"/>
    <w:rsid w:val="00927CE7"/>
    <w:rsid w:val="009302DD"/>
    <w:rsid w:val="0093057C"/>
    <w:rsid w:val="0093092B"/>
    <w:rsid w:val="00930B59"/>
    <w:rsid w:val="00931B0C"/>
    <w:rsid w:val="00931BA6"/>
    <w:rsid w:val="00931BFF"/>
    <w:rsid w:val="009326B0"/>
    <w:rsid w:val="009327C9"/>
    <w:rsid w:val="00932D62"/>
    <w:rsid w:val="00933927"/>
    <w:rsid w:val="00933F8F"/>
    <w:rsid w:val="00934746"/>
    <w:rsid w:val="00934A82"/>
    <w:rsid w:val="00934AB8"/>
    <w:rsid w:val="00934F48"/>
    <w:rsid w:val="00935075"/>
    <w:rsid w:val="00935DB5"/>
    <w:rsid w:val="009372EC"/>
    <w:rsid w:val="00940961"/>
    <w:rsid w:val="00940C1D"/>
    <w:rsid w:val="0094182D"/>
    <w:rsid w:val="00941FB4"/>
    <w:rsid w:val="00942093"/>
    <w:rsid w:val="00942347"/>
    <w:rsid w:val="0094269A"/>
    <w:rsid w:val="009439BB"/>
    <w:rsid w:val="00943EBA"/>
    <w:rsid w:val="00943ECC"/>
    <w:rsid w:val="00944796"/>
    <w:rsid w:val="00944EE1"/>
    <w:rsid w:val="0094508D"/>
    <w:rsid w:val="00945710"/>
    <w:rsid w:val="00945805"/>
    <w:rsid w:val="0094633B"/>
    <w:rsid w:val="009465AB"/>
    <w:rsid w:val="009469C6"/>
    <w:rsid w:val="009477A1"/>
    <w:rsid w:val="009500C7"/>
    <w:rsid w:val="009506AF"/>
    <w:rsid w:val="00950AB9"/>
    <w:rsid w:val="009511E1"/>
    <w:rsid w:val="0095164D"/>
    <w:rsid w:val="00951762"/>
    <w:rsid w:val="00951D07"/>
    <w:rsid w:val="00951E60"/>
    <w:rsid w:val="00951F74"/>
    <w:rsid w:val="00952113"/>
    <w:rsid w:val="009524DB"/>
    <w:rsid w:val="009524E0"/>
    <w:rsid w:val="00952D9F"/>
    <w:rsid w:val="00952F9E"/>
    <w:rsid w:val="00953719"/>
    <w:rsid w:val="009541DF"/>
    <w:rsid w:val="00954F9B"/>
    <w:rsid w:val="009555C4"/>
    <w:rsid w:val="00955771"/>
    <w:rsid w:val="009559ED"/>
    <w:rsid w:val="00955CA1"/>
    <w:rsid w:val="00956FCA"/>
    <w:rsid w:val="00957B53"/>
    <w:rsid w:val="00957C71"/>
    <w:rsid w:val="00960141"/>
    <w:rsid w:val="00960211"/>
    <w:rsid w:val="00960FFF"/>
    <w:rsid w:val="0096193B"/>
    <w:rsid w:val="00962211"/>
    <w:rsid w:val="009625FD"/>
    <w:rsid w:val="00963BAB"/>
    <w:rsid w:val="00963CF9"/>
    <w:rsid w:val="00964429"/>
    <w:rsid w:val="0096456B"/>
    <w:rsid w:val="00964DAB"/>
    <w:rsid w:val="009665F0"/>
    <w:rsid w:val="00966612"/>
    <w:rsid w:val="00966B0E"/>
    <w:rsid w:val="00966BAF"/>
    <w:rsid w:val="00966E71"/>
    <w:rsid w:val="00967251"/>
    <w:rsid w:val="00967494"/>
    <w:rsid w:val="009678E5"/>
    <w:rsid w:val="00967975"/>
    <w:rsid w:val="00967FDF"/>
    <w:rsid w:val="00970005"/>
    <w:rsid w:val="0097047A"/>
    <w:rsid w:val="00970977"/>
    <w:rsid w:val="00970B99"/>
    <w:rsid w:val="00970FB3"/>
    <w:rsid w:val="009718EE"/>
    <w:rsid w:val="009722B5"/>
    <w:rsid w:val="009722EC"/>
    <w:rsid w:val="00972749"/>
    <w:rsid w:val="00972D80"/>
    <w:rsid w:val="00973901"/>
    <w:rsid w:val="00973E3D"/>
    <w:rsid w:val="00973F6A"/>
    <w:rsid w:val="00973F8B"/>
    <w:rsid w:val="00974083"/>
    <w:rsid w:val="009740C8"/>
    <w:rsid w:val="00974F0C"/>
    <w:rsid w:val="00975298"/>
    <w:rsid w:val="00975670"/>
    <w:rsid w:val="00976176"/>
    <w:rsid w:val="009763F1"/>
    <w:rsid w:val="00976F52"/>
    <w:rsid w:val="00977443"/>
    <w:rsid w:val="00977483"/>
    <w:rsid w:val="00977987"/>
    <w:rsid w:val="00977C7D"/>
    <w:rsid w:val="00977D0D"/>
    <w:rsid w:val="00977EEF"/>
    <w:rsid w:val="00977FB9"/>
    <w:rsid w:val="00980310"/>
    <w:rsid w:val="0098051D"/>
    <w:rsid w:val="00980988"/>
    <w:rsid w:val="00980B53"/>
    <w:rsid w:val="00980D8F"/>
    <w:rsid w:val="00980E22"/>
    <w:rsid w:val="0098101D"/>
    <w:rsid w:val="009811BA"/>
    <w:rsid w:val="00981543"/>
    <w:rsid w:val="00982124"/>
    <w:rsid w:val="009823E9"/>
    <w:rsid w:val="0098274B"/>
    <w:rsid w:val="0098334D"/>
    <w:rsid w:val="00983C03"/>
    <w:rsid w:val="00984420"/>
    <w:rsid w:val="00984490"/>
    <w:rsid w:val="00985E46"/>
    <w:rsid w:val="0098663F"/>
    <w:rsid w:val="009868A3"/>
    <w:rsid w:val="009909B4"/>
    <w:rsid w:val="00990CFC"/>
    <w:rsid w:val="00991987"/>
    <w:rsid w:val="00991A6E"/>
    <w:rsid w:val="00992243"/>
    <w:rsid w:val="009924CC"/>
    <w:rsid w:val="00992742"/>
    <w:rsid w:val="00992DFF"/>
    <w:rsid w:val="00992F84"/>
    <w:rsid w:val="0099356B"/>
    <w:rsid w:val="00993DF1"/>
    <w:rsid w:val="0099405A"/>
    <w:rsid w:val="00994190"/>
    <w:rsid w:val="0099432A"/>
    <w:rsid w:val="00994384"/>
    <w:rsid w:val="00994550"/>
    <w:rsid w:val="00994961"/>
    <w:rsid w:val="00994B61"/>
    <w:rsid w:val="00995BEE"/>
    <w:rsid w:val="00996132"/>
    <w:rsid w:val="0099631D"/>
    <w:rsid w:val="009964B1"/>
    <w:rsid w:val="0099712E"/>
    <w:rsid w:val="009975D3"/>
    <w:rsid w:val="00997A98"/>
    <w:rsid w:val="00997C05"/>
    <w:rsid w:val="009A0093"/>
    <w:rsid w:val="009A0447"/>
    <w:rsid w:val="009A0479"/>
    <w:rsid w:val="009A107B"/>
    <w:rsid w:val="009A1A7D"/>
    <w:rsid w:val="009A2125"/>
    <w:rsid w:val="009A2FEA"/>
    <w:rsid w:val="009A381D"/>
    <w:rsid w:val="009A38B3"/>
    <w:rsid w:val="009A3B61"/>
    <w:rsid w:val="009A3EEB"/>
    <w:rsid w:val="009A404D"/>
    <w:rsid w:val="009A4764"/>
    <w:rsid w:val="009A4D25"/>
    <w:rsid w:val="009A522E"/>
    <w:rsid w:val="009A5ABF"/>
    <w:rsid w:val="009A632C"/>
    <w:rsid w:val="009A6F7E"/>
    <w:rsid w:val="009A737D"/>
    <w:rsid w:val="009A7841"/>
    <w:rsid w:val="009A7C87"/>
    <w:rsid w:val="009B01E0"/>
    <w:rsid w:val="009B0C86"/>
    <w:rsid w:val="009B1313"/>
    <w:rsid w:val="009B17F7"/>
    <w:rsid w:val="009B2230"/>
    <w:rsid w:val="009B236F"/>
    <w:rsid w:val="009B2980"/>
    <w:rsid w:val="009B2A64"/>
    <w:rsid w:val="009B2AFA"/>
    <w:rsid w:val="009B2D5A"/>
    <w:rsid w:val="009B3E7C"/>
    <w:rsid w:val="009B4ED0"/>
    <w:rsid w:val="009B5428"/>
    <w:rsid w:val="009B58DB"/>
    <w:rsid w:val="009B6658"/>
    <w:rsid w:val="009B68B0"/>
    <w:rsid w:val="009B6BDA"/>
    <w:rsid w:val="009B7633"/>
    <w:rsid w:val="009B79BB"/>
    <w:rsid w:val="009B7A8D"/>
    <w:rsid w:val="009C00DC"/>
    <w:rsid w:val="009C0997"/>
    <w:rsid w:val="009C1167"/>
    <w:rsid w:val="009C1315"/>
    <w:rsid w:val="009C153A"/>
    <w:rsid w:val="009C1950"/>
    <w:rsid w:val="009C1A35"/>
    <w:rsid w:val="009C1B51"/>
    <w:rsid w:val="009C2C05"/>
    <w:rsid w:val="009C313C"/>
    <w:rsid w:val="009C3944"/>
    <w:rsid w:val="009C3CC8"/>
    <w:rsid w:val="009C3D71"/>
    <w:rsid w:val="009C4214"/>
    <w:rsid w:val="009C4345"/>
    <w:rsid w:val="009C4570"/>
    <w:rsid w:val="009C4F81"/>
    <w:rsid w:val="009C4FC6"/>
    <w:rsid w:val="009C50CF"/>
    <w:rsid w:val="009C557F"/>
    <w:rsid w:val="009C5C77"/>
    <w:rsid w:val="009C6C86"/>
    <w:rsid w:val="009C7B4C"/>
    <w:rsid w:val="009D04F4"/>
    <w:rsid w:val="009D08A7"/>
    <w:rsid w:val="009D0968"/>
    <w:rsid w:val="009D0BBD"/>
    <w:rsid w:val="009D186B"/>
    <w:rsid w:val="009D1A7A"/>
    <w:rsid w:val="009D2841"/>
    <w:rsid w:val="009D2DDA"/>
    <w:rsid w:val="009D2F45"/>
    <w:rsid w:val="009D3025"/>
    <w:rsid w:val="009D3102"/>
    <w:rsid w:val="009D3955"/>
    <w:rsid w:val="009D39DD"/>
    <w:rsid w:val="009D3D57"/>
    <w:rsid w:val="009D4160"/>
    <w:rsid w:val="009D4FAE"/>
    <w:rsid w:val="009D72BE"/>
    <w:rsid w:val="009D7B54"/>
    <w:rsid w:val="009D7F1B"/>
    <w:rsid w:val="009D7FB1"/>
    <w:rsid w:val="009E038F"/>
    <w:rsid w:val="009E1902"/>
    <w:rsid w:val="009E19C3"/>
    <w:rsid w:val="009E1A9B"/>
    <w:rsid w:val="009E1C6A"/>
    <w:rsid w:val="009E219D"/>
    <w:rsid w:val="009E222B"/>
    <w:rsid w:val="009E283C"/>
    <w:rsid w:val="009E3287"/>
    <w:rsid w:val="009E35CD"/>
    <w:rsid w:val="009E370C"/>
    <w:rsid w:val="009E498B"/>
    <w:rsid w:val="009E5637"/>
    <w:rsid w:val="009E6030"/>
    <w:rsid w:val="009E6128"/>
    <w:rsid w:val="009E63E8"/>
    <w:rsid w:val="009E6519"/>
    <w:rsid w:val="009E65A2"/>
    <w:rsid w:val="009E75F4"/>
    <w:rsid w:val="009F0E4E"/>
    <w:rsid w:val="009F1478"/>
    <w:rsid w:val="009F18BF"/>
    <w:rsid w:val="009F1A93"/>
    <w:rsid w:val="009F1CB3"/>
    <w:rsid w:val="009F1CE4"/>
    <w:rsid w:val="009F223C"/>
    <w:rsid w:val="009F27E5"/>
    <w:rsid w:val="009F2C56"/>
    <w:rsid w:val="009F38B3"/>
    <w:rsid w:val="009F4544"/>
    <w:rsid w:val="009F4DE5"/>
    <w:rsid w:val="009F53B4"/>
    <w:rsid w:val="009F55D5"/>
    <w:rsid w:val="009F57C8"/>
    <w:rsid w:val="009F5CD7"/>
    <w:rsid w:val="009F65E2"/>
    <w:rsid w:val="009F71EE"/>
    <w:rsid w:val="009F73D8"/>
    <w:rsid w:val="009F7B01"/>
    <w:rsid w:val="00A00391"/>
    <w:rsid w:val="00A01C99"/>
    <w:rsid w:val="00A02495"/>
    <w:rsid w:val="00A024DC"/>
    <w:rsid w:val="00A0287F"/>
    <w:rsid w:val="00A031A6"/>
    <w:rsid w:val="00A03306"/>
    <w:rsid w:val="00A0358C"/>
    <w:rsid w:val="00A03877"/>
    <w:rsid w:val="00A03E57"/>
    <w:rsid w:val="00A04232"/>
    <w:rsid w:val="00A043E8"/>
    <w:rsid w:val="00A045CD"/>
    <w:rsid w:val="00A04709"/>
    <w:rsid w:val="00A04C4A"/>
    <w:rsid w:val="00A0518A"/>
    <w:rsid w:val="00A05A1C"/>
    <w:rsid w:val="00A05FDE"/>
    <w:rsid w:val="00A06075"/>
    <w:rsid w:val="00A060BD"/>
    <w:rsid w:val="00A06221"/>
    <w:rsid w:val="00A062B4"/>
    <w:rsid w:val="00A06E14"/>
    <w:rsid w:val="00A10491"/>
    <w:rsid w:val="00A114FE"/>
    <w:rsid w:val="00A11C2E"/>
    <w:rsid w:val="00A11E2C"/>
    <w:rsid w:val="00A1203B"/>
    <w:rsid w:val="00A12141"/>
    <w:rsid w:val="00A1286D"/>
    <w:rsid w:val="00A12B5A"/>
    <w:rsid w:val="00A14666"/>
    <w:rsid w:val="00A14D4D"/>
    <w:rsid w:val="00A14EEA"/>
    <w:rsid w:val="00A14EEF"/>
    <w:rsid w:val="00A16499"/>
    <w:rsid w:val="00A16CC6"/>
    <w:rsid w:val="00A172E6"/>
    <w:rsid w:val="00A179B1"/>
    <w:rsid w:val="00A179CC"/>
    <w:rsid w:val="00A17F2B"/>
    <w:rsid w:val="00A2041C"/>
    <w:rsid w:val="00A20762"/>
    <w:rsid w:val="00A20B96"/>
    <w:rsid w:val="00A219B4"/>
    <w:rsid w:val="00A21E34"/>
    <w:rsid w:val="00A227FF"/>
    <w:rsid w:val="00A237F3"/>
    <w:rsid w:val="00A23F93"/>
    <w:rsid w:val="00A241D1"/>
    <w:rsid w:val="00A24224"/>
    <w:rsid w:val="00A24585"/>
    <w:rsid w:val="00A246B2"/>
    <w:rsid w:val="00A24DAA"/>
    <w:rsid w:val="00A252A2"/>
    <w:rsid w:val="00A2534A"/>
    <w:rsid w:val="00A26603"/>
    <w:rsid w:val="00A26E10"/>
    <w:rsid w:val="00A27552"/>
    <w:rsid w:val="00A30944"/>
    <w:rsid w:val="00A310BE"/>
    <w:rsid w:val="00A3111B"/>
    <w:rsid w:val="00A31147"/>
    <w:rsid w:val="00A32F7C"/>
    <w:rsid w:val="00A334A0"/>
    <w:rsid w:val="00A33640"/>
    <w:rsid w:val="00A33DAE"/>
    <w:rsid w:val="00A355F7"/>
    <w:rsid w:val="00A35FBE"/>
    <w:rsid w:val="00A36756"/>
    <w:rsid w:val="00A369D9"/>
    <w:rsid w:val="00A373A5"/>
    <w:rsid w:val="00A3757D"/>
    <w:rsid w:val="00A37C2E"/>
    <w:rsid w:val="00A4021B"/>
    <w:rsid w:val="00A40569"/>
    <w:rsid w:val="00A40610"/>
    <w:rsid w:val="00A4108E"/>
    <w:rsid w:val="00A410D6"/>
    <w:rsid w:val="00A4168B"/>
    <w:rsid w:val="00A417EE"/>
    <w:rsid w:val="00A41B4A"/>
    <w:rsid w:val="00A41CEB"/>
    <w:rsid w:val="00A429CC"/>
    <w:rsid w:val="00A43BA0"/>
    <w:rsid w:val="00A4425C"/>
    <w:rsid w:val="00A44287"/>
    <w:rsid w:val="00A443B5"/>
    <w:rsid w:val="00A448CD"/>
    <w:rsid w:val="00A44F2A"/>
    <w:rsid w:val="00A461E0"/>
    <w:rsid w:val="00A467EC"/>
    <w:rsid w:val="00A47785"/>
    <w:rsid w:val="00A50042"/>
    <w:rsid w:val="00A501B6"/>
    <w:rsid w:val="00A51238"/>
    <w:rsid w:val="00A512A0"/>
    <w:rsid w:val="00A51CB4"/>
    <w:rsid w:val="00A51DD7"/>
    <w:rsid w:val="00A52351"/>
    <w:rsid w:val="00A5266B"/>
    <w:rsid w:val="00A52B9A"/>
    <w:rsid w:val="00A52BA4"/>
    <w:rsid w:val="00A52E2A"/>
    <w:rsid w:val="00A5310A"/>
    <w:rsid w:val="00A53206"/>
    <w:rsid w:val="00A53234"/>
    <w:rsid w:val="00A53F0F"/>
    <w:rsid w:val="00A54B37"/>
    <w:rsid w:val="00A554F1"/>
    <w:rsid w:val="00A558E9"/>
    <w:rsid w:val="00A5602D"/>
    <w:rsid w:val="00A5637E"/>
    <w:rsid w:val="00A573CE"/>
    <w:rsid w:val="00A577FE"/>
    <w:rsid w:val="00A57D82"/>
    <w:rsid w:val="00A605D9"/>
    <w:rsid w:val="00A606D1"/>
    <w:rsid w:val="00A607E3"/>
    <w:rsid w:val="00A61FA4"/>
    <w:rsid w:val="00A61FE0"/>
    <w:rsid w:val="00A620E7"/>
    <w:rsid w:val="00A627DE"/>
    <w:rsid w:val="00A62CA4"/>
    <w:rsid w:val="00A63542"/>
    <w:rsid w:val="00A63E13"/>
    <w:rsid w:val="00A64456"/>
    <w:rsid w:val="00A64D66"/>
    <w:rsid w:val="00A65010"/>
    <w:rsid w:val="00A65285"/>
    <w:rsid w:val="00A65B84"/>
    <w:rsid w:val="00A65F69"/>
    <w:rsid w:val="00A665E0"/>
    <w:rsid w:val="00A6664D"/>
    <w:rsid w:val="00A669CB"/>
    <w:rsid w:val="00A66AC2"/>
    <w:rsid w:val="00A66C54"/>
    <w:rsid w:val="00A66CEF"/>
    <w:rsid w:val="00A67403"/>
    <w:rsid w:val="00A677A2"/>
    <w:rsid w:val="00A70DE9"/>
    <w:rsid w:val="00A70F3A"/>
    <w:rsid w:val="00A717FC"/>
    <w:rsid w:val="00A71C56"/>
    <w:rsid w:val="00A7229C"/>
    <w:rsid w:val="00A73243"/>
    <w:rsid w:val="00A732B6"/>
    <w:rsid w:val="00A733A3"/>
    <w:rsid w:val="00A7430E"/>
    <w:rsid w:val="00A74612"/>
    <w:rsid w:val="00A74808"/>
    <w:rsid w:val="00A75D94"/>
    <w:rsid w:val="00A762AD"/>
    <w:rsid w:val="00A76360"/>
    <w:rsid w:val="00A76AC6"/>
    <w:rsid w:val="00A76DBA"/>
    <w:rsid w:val="00A76FDA"/>
    <w:rsid w:val="00A77290"/>
    <w:rsid w:val="00A77547"/>
    <w:rsid w:val="00A775DB"/>
    <w:rsid w:val="00A779FF"/>
    <w:rsid w:val="00A77E8F"/>
    <w:rsid w:val="00A806F0"/>
    <w:rsid w:val="00A80C16"/>
    <w:rsid w:val="00A81061"/>
    <w:rsid w:val="00A81484"/>
    <w:rsid w:val="00A81653"/>
    <w:rsid w:val="00A8169D"/>
    <w:rsid w:val="00A816D1"/>
    <w:rsid w:val="00A81717"/>
    <w:rsid w:val="00A82138"/>
    <w:rsid w:val="00A8235F"/>
    <w:rsid w:val="00A826A9"/>
    <w:rsid w:val="00A83247"/>
    <w:rsid w:val="00A84197"/>
    <w:rsid w:val="00A841A4"/>
    <w:rsid w:val="00A843F2"/>
    <w:rsid w:val="00A853AE"/>
    <w:rsid w:val="00A85A07"/>
    <w:rsid w:val="00A86273"/>
    <w:rsid w:val="00A865E0"/>
    <w:rsid w:val="00A86B35"/>
    <w:rsid w:val="00A86E47"/>
    <w:rsid w:val="00A91268"/>
    <w:rsid w:val="00A9149F"/>
    <w:rsid w:val="00A91BB9"/>
    <w:rsid w:val="00A91F64"/>
    <w:rsid w:val="00A93B11"/>
    <w:rsid w:val="00A945FB"/>
    <w:rsid w:val="00A956E2"/>
    <w:rsid w:val="00A95C19"/>
    <w:rsid w:val="00A95E85"/>
    <w:rsid w:val="00A95F98"/>
    <w:rsid w:val="00A977CC"/>
    <w:rsid w:val="00A97E42"/>
    <w:rsid w:val="00AA0D41"/>
    <w:rsid w:val="00AA1271"/>
    <w:rsid w:val="00AA1500"/>
    <w:rsid w:val="00AA1B9D"/>
    <w:rsid w:val="00AA1E24"/>
    <w:rsid w:val="00AA23B7"/>
    <w:rsid w:val="00AA2C28"/>
    <w:rsid w:val="00AA2F1F"/>
    <w:rsid w:val="00AA2FE9"/>
    <w:rsid w:val="00AA3658"/>
    <w:rsid w:val="00AA3868"/>
    <w:rsid w:val="00AA4C6E"/>
    <w:rsid w:val="00AA5967"/>
    <w:rsid w:val="00AA5A9B"/>
    <w:rsid w:val="00AA5D18"/>
    <w:rsid w:val="00AA64E9"/>
    <w:rsid w:val="00AA6906"/>
    <w:rsid w:val="00AA6DEC"/>
    <w:rsid w:val="00AA6E20"/>
    <w:rsid w:val="00AA77B4"/>
    <w:rsid w:val="00AB0829"/>
    <w:rsid w:val="00AB0C64"/>
    <w:rsid w:val="00AB0DB1"/>
    <w:rsid w:val="00AB0EE8"/>
    <w:rsid w:val="00AB103B"/>
    <w:rsid w:val="00AB1555"/>
    <w:rsid w:val="00AB1648"/>
    <w:rsid w:val="00AB1900"/>
    <w:rsid w:val="00AB1E7D"/>
    <w:rsid w:val="00AB200A"/>
    <w:rsid w:val="00AB2C8F"/>
    <w:rsid w:val="00AB38BF"/>
    <w:rsid w:val="00AB3967"/>
    <w:rsid w:val="00AB3EB5"/>
    <w:rsid w:val="00AB3FDD"/>
    <w:rsid w:val="00AB49D3"/>
    <w:rsid w:val="00AB4E28"/>
    <w:rsid w:val="00AB5331"/>
    <w:rsid w:val="00AB54CE"/>
    <w:rsid w:val="00AB6D70"/>
    <w:rsid w:val="00AB6F7A"/>
    <w:rsid w:val="00AB7549"/>
    <w:rsid w:val="00AB7F7E"/>
    <w:rsid w:val="00AC06A6"/>
    <w:rsid w:val="00AC06DB"/>
    <w:rsid w:val="00AC0D0B"/>
    <w:rsid w:val="00AC189E"/>
    <w:rsid w:val="00AC19EE"/>
    <w:rsid w:val="00AC237E"/>
    <w:rsid w:val="00AC23A4"/>
    <w:rsid w:val="00AC247E"/>
    <w:rsid w:val="00AC25DC"/>
    <w:rsid w:val="00AC2FDC"/>
    <w:rsid w:val="00AC36C7"/>
    <w:rsid w:val="00AC390E"/>
    <w:rsid w:val="00AC42AB"/>
    <w:rsid w:val="00AC4B0F"/>
    <w:rsid w:val="00AC5004"/>
    <w:rsid w:val="00AC5B76"/>
    <w:rsid w:val="00AC5E31"/>
    <w:rsid w:val="00AC5EB1"/>
    <w:rsid w:val="00AC6838"/>
    <w:rsid w:val="00AC73F9"/>
    <w:rsid w:val="00AC7C68"/>
    <w:rsid w:val="00AD0570"/>
    <w:rsid w:val="00AD08EE"/>
    <w:rsid w:val="00AD0FD7"/>
    <w:rsid w:val="00AD17D9"/>
    <w:rsid w:val="00AD1B25"/>
    <w:rsid w:val="00AD20A4"/>
    <w:rsid w:val="00AD2265"/>
    <w:rsid w:val="00AD247A"/>
    <w:rsid w:val="00AD2577"/>
    <w:rsid w:val="00AD2763"/>
    <w:rsid w:val="00AD296C"/>
    <w:rsid w:val="00AD2B21"/>
    <w:rsid w:val="00AD35DF"/>
    <w:rsid w:val="00AD372A"/>
    <w:rsid w:val="00AD5248"/>
    <w:rsid w:val="00AD6331"/>
    <w:rsid w:val="00AD6BE5"/>
    <w:rsid w:val="00AD7346"/>
    <w:rsid w:val="00AD7BEA"/>
    <w:rsid w:val="00AD7D72"/>
    <w:rsid w:val="00AE024D"/>
    <w:rsid w:val="00AE02DD"/>
    <w:rsid w:val="00AE0796"/>
    <w:rsid w:val="00AE0EC5"/>
    <w:rsid w:val="00AE10B3"/>
    <w:rsid w:val="00AE19C1"/>
    <w:rsid w:val="00AE1BB5"/>
    <w:rsid w:val="00AE201C"/>
    <w:rsid w:val="00AE3528"/>
    <w:rsid w:val="00AE4333"/>
    <w:rsid w:val="00AE438F"/>
    <w:rsid w:val="00AE4B7F"/>
    <w:rsid w:val="00AE57C4"/>
    <w:rsid w:val="00AE591E"/>
    <w:rsid w:val="00AE604D"/>
    <w:rsid w:val="00AE650A"/>
    <w:rsid w:val="00AE66BC"/>
    <w:rsid w:val="00AE69AD"/>
    <w:rsid w:val="00AE6EBF"/>
    <w:rsid w:val="00AE763B"/>
    <w:rsid w:val="00AE7A35"/>
    <w:rsid w:val="00AE7CC4"/>
    <w:rsid w:val="00AE7D2D"/>
    <w:rsid w:val="00AE7E78"/>
    <w:rsid w:val="00AF038D"/>
    <w:rsid w:val="00AF04BC"/>
    <w:rsid w:val="00AF072B"/>
    <w:rsid w:val="00AF07EE"/>
    <w:rsid w:val="00AF0804"/>
    <w:rsid w:val="00AF0B0B"/>
    <w:rsid w:val="00AF1160"/>
    <w:rsid w:val="00AF16F3"/>
    <w:rsid w:val="00AF19F9"/>
    <w:rsid w:val="00AF1AAF"/>
    <w:rsid w:val="00AF1C9E"/>
    <w:rsid w:val="00AF1CDB"/>
    <w:rsid w:val="00AF1F19"/>
    <w:rsid w:val="00AF21C2"/>
    <w:rsid w:val="00AF243A"/>
    <w:rsid w:val="00AF2529"/>
    <w:rsid w:val="00AF2F14"/>
    <w:rsid w:val="00AF384C"/>
    <w:rsid w:val="00AF3D09"/>
    <w:rsid w:val="00AF3DF3"/>
    <w:rsid w:val="00AF4B95"/>
    <w:rsid w:val="00AF4C35"/>
    <w:rsid w:val="00AF55CD"/>
    <w:rsid w:val="00AF5AA8"/>
    <w:rsid w:val="00AF5AAE"/>
    <w:rsid w:val="00AF5DE8"/>
    <w:rsid w:val="00AF6124"/>
    <w:rsid w:val="00AF777A"/>
    <w:rsid w:val="00AF7AF2"/>
    <w:rsid w:val="00B002A8"/>
    <w:rsid w:val="00B00308"/>
    <w:rsid w:val="00B0045D"/>
    <w:rsid w:val="00B0046B"/>
    <w:rsid w:val="00B010D3"/>
    <w:rsid w:val="00B0167A"/>
    <w:rsid w:val="00B01BD2"/>
    <w:rsid w:val="00B02867"/>
    <w:rsid w:val="00B0357E"/>
    <w:rsid w:val="00B03D96"/>
    <w:rsid w:val="00B04775"/>
    <w:rsid w:val="00B047D3"/>
    <w:rsid w:val="00B04888"/>
    <w:rsid w:val="00B04995"/>
    <w:rsid w:val="00B04C43"/>
    <w:rsid w:val="00B05897"/>
    <w:rsid w:val="00B0590E"/>
    <w:rsid w:val="00B07064"/>
    <w:rsid w:val="00B074EB"/>
    <w:rsid w:val="00B1075E"/>
    <w:rsid w:val="00B10C32"/>
    <w:rsid w:val="00B10CBD"/>
    <w:rsid w:val="00B10D67"/>
    <w:rsid w:val="00B11F17"/>
    <w:rsid w:val="00B1258C"/>
    <w:rsid w:val="00B12A54"/>
    <w:rsid w:val="00B133CF"/>
    <w:rsid w:val="00B13C46"/>
    <w:rsid w:val="00B1453C"/>
    <w:rsid w:val="00B151E5"/>
    <w:rsid w:val="00B154A6"/>
    <w:rsid w:val="00B1551F"/>
    <w:rsid w:val="00B1573A"/>
    <w:rsid w:val="00B1584D"/>
    <w:rsid w:val="00B15957"/>
    <w:rsid w:val="00B1631C"/>
    <w:rsid w:val="00B1751F"/>
    <w:rsid w:val="00B176A9"/>
    <w:rsid w:val="00B21898"/>
    <w:rsid w:val="00B2189E"/>
    <w:rsid w:val="00B21972"/>
    <w:rsid w:val="00B21C11"/>
    <w:rsid w:val="00B21DF3"/>
    <w:rsid w:val="00B230B7"/>
    <w:rsid w:val="00B2356B"/>
    <w:rsid w:val="00B245C2"/>
    <w:rsid w:val="00B24828"/>
    <w:rsid w:val="00B25222"/>
    <w:rsid w:val="00B264DA"/>
    <w:rsid w:val="00B26A44"/>
    <w:rsid w:val="00B26CFE"/>
    <w:rsid w:val="00B274CF"/>
    <w:rsid w:val="00B316F4"/>
    <w:rsid w:val="00B317F1"/>
    <w:rsid w:val="00B31A1A"/>
    <w:rsid w:val="00B31EA7"/>
    <w:rsid w:val="00B32131"/>
    <w:rsid w:val="00B3232B"/>
    <w:rsid w:val="00B32ED3"/>
    <w:rsid w:val="00B34079"/>
    <w:rsid w:val="00B34419"/>
    <w:rsid w:val="00B348E7"/>
    <w:rsid w:val="00B34A10"/>
    <w:rsid w:val="00B34C02"/>
    <w:rsid w:val="00B3585A"/>
    <w:rsid w:val="00B359CE"/>
    <w:rsid w:val="00B35B17"/>
    <w:rsid w:val="00B35BC4"/>
    <w:rsid w:val="00B35E6C"/>
    <w:rsid w:val="00B35F19"/>
    <w:rsid w:val="00B36EF9"/>
    <w:rsid w:val="00B373CC"/>
    <w:rsid w:val="00B3745A"/>
    <w:rsid w:val="00B37FB7"/>
    <w:rsid w:val="00B40A3D"/>
    <w:rsid w:val="00B41704"/>
    <w:rsid w:val="00B41874"/>
    <w:rsid w:val="00B419A8"/>
    <w:rsid w:val="00B41A07"/>
    <w:rsid w:val="00B41BF1"/>
    <w:rsid w:val="00B42F57"/>
    <w:rsid w:val="00B4341D"/>
    <w:rsid w:val="00B439CF"/>
    <w:rsid w:val="00B43A88"/>
    <w:rsid w:val="00B44340"/>
    <w:rsid w:val="00B444A9"/>
    <w:rsid w:val="00B44563"/>
    <w:rsid w:val="00B45593"/>
    <w:rsid w:val="00B45DCE"/>
    <w:rsid w:val="00B4687F"/>
    <w:rsid w:val="00B469E1"/>
    <w:rsid w:val="00B46BD8"/>
    <w:rsid w:val="00B46C23"/>
    <w:rsid w:val="00B46D16"/>
    <w:rsid w:val="00B46D3A"/>
    <w:rsid w:val="00B4768B"/>
    <w:rsid w:val="00B47946"/>
    <w:rsid w:val="00B50BD8"/>
    <w:rsid w:val="00B50D9A"/>
    <w:rsid w:val="00B51970"/>
    <w:rsid w:val="00B51A60"/>
    <w:rsid w:val="00B51DA8"/>
    <w:rsid w:val="00B51FE9"/>
    <w:rsid w:val="00B5228B"/>
    <w:rsid w:val="00B524EE"/>
    <w:rsid w:val="00B52538"/>
    <w:rsid w:val="00B52602"/>
    <w:rsid w:val="00B534B2"/>
    <w:rsid w:val="00B5359A"/>
    <w:rsid w:val="00B5417E"/>
    <w:rsid w:val="00B54390"/>
    <w:rsid w:val="00B5457B"/>
    <w:rsid w:val="00B5466D"/>
    <w:rsid w:val="00B547A0"/>
    <w:rsid w:val="00B54EA2"/>
    <w:rsid w:val="00B55F74"/>
    <w:rsid w:val="00B5619B"/>
    <w:rsid w:val="00B56622"/>
    <w:rsid w:val="00B5755D"/>
    <w:rsid w:val="00B5779D"/>
    <w:rsid w:val="00B57F27"/>
    <w:rsid w:val="00B60116"/>
    <w:rsid w:val="00B60384"/>
    <w:rsid w:val="00B61AEE"/>
    <w:rsid w:val="00B61C6C"/>
    <w:rsid w:val="00B61DBC"/>
    <w:rsid w:val="00B620A7"/>
    <w:rsid w:val="00B62A7F"/>
    <w:rsid w:val="00B63ED8"/>
    <w:rsid w:val="00B64982"/>
    <w:rsid w:val="00B64BD6"/>
    <w:rsid w:val="00B64DB0"/>
    <w:rsid w:val="00B65D28"/>
    <w:rsid w:val="00B671B3"/>
    <w:rsid w:val="00B671E7"/>
    <w:rsid w:val="00B67515"/>
    <w:rsid w:val="00B67B8E"/>
    <w:rsid w:val="00B67FC1"/>
    <w:rsid w:val="00B704A5"/>
    <w:rsid w:val="00B704D3"/>
    <w:rsid w:val="00B71091"/>
    <w:rsid w:val="00B712FA"/>
    <w:rsid w:val="00B71DC6"/>
    <w:rsid w:val="00B723EB"/>
    <w:rsid w:val="00B7257E"/>
    <w:rsid w:val="00B72584"/>
    <w:rsid w:val="00B72966"/>
    <w:rsid w:val="00B72F64"/>
    <w:rsid w:val="00B73A21"/>
    <w:rsid w:val="00B7408D"/>
    <w:rsid w:val="00B74634"/>
    <w:rsid w:val="00B74DC3"/>
    <w:rsid w:val="00B74FA9"/>
    <w:rsid w:val="00B75561"/>
    <w:rsid w:val="00B75DAD"/>
    <w:rsid w:val="00B760FA"/>
    <w:rsid w:val="00B761BE"/>
    <w:rsid w:val="00B769C0"/>
    <w:rsid w:val="00B76D9E"/>
    <w:rsid w:val="00B77C7B"/>
    <w:rsid w:val="00B80179"/>
    <w:rsid w:val="00B8018C"/>
    <w:rsid w:val="00B8019D"/>
    <w:rsid w:val="00B80744"/>
    <w:rsid w:val="00B809DE"/>
    <w:rsid w:val="00B80AA3"/>
    <w:rsid w:val="00B80ED5"/>
    <w:rsid w:val="00B815A0"/>
    <w:rsid w:val="00B8177B"/>
    <w:rsid w:val="00B81F0F"/>
    <w:rsid w:val="00B821E8"/>
    <w:rsid w:val="00B830D0"/>
    <w:rsid w:val="00B8466B"/>
    <w:rsid w:val="00B8485D"/>
    <w:rsid w:val="00B84CAA"/>
    <w:rsid w:val="00B84D66"/>
    <w:rsid w:val="00B85971"/>
    <w:rsid w:val="00B86184"/>
    <w:rsid w:val="00B861F5"/>
    <w:rsid w:val="00B8777C"/>
    <w:rsid w:val="00B87CC3"/>
    <w:rsid w:val="00B90004"/>
    <w:rsid w:val="00B90169"/>
    <w:rsid w:val="00B90852"/>
    <w:rsid w:val="00B915F2"/>
    <w:rsid w:val="00B91611"/>
    <w:rsid w:val="00B91E25"/>
    <w:rsid w:val="00B9273B"/>
    <w:rsid w:val="00B93093"/>
    <w:rsid w:val="00B93470"/>
    <w:rsid w:val="00B93C33"/>
    <w:rsid w:val="00B94395"/>
    <w:rsid w:val="00B943C6"/>
    <w:rsid w:val="00B94F28"/>
    <w:rsid w:val="00B95519"/>
    <w:rsid w:val="00B95592"/>
    <w:rsid w:val="00B956A2"/>
    <w:rsid w:val="00B956B4"/>
    <w:rsid w:val="00B95FB2"/>
    <w:rsid w:val="00B96255"/>
    <w:rsid w:val="00B962C1"/>
    <w:rsid w:val="00B9632C"/>
    <w:rsid w:val="00B965DF"/>
    <w:rsid w:val="00B969C9"/>
    <w:rsid w:val="00B96CA7"/>
    <w:rsid w:val="00B977EE"/>
    <w:rsid w:val="00B97AA0"/>
    <w:rsid w:val="00BA00CC"/>
    <w:rsid w:val="00BA0AB5"/>
    <w:rsid w:val="00BA0DED"/>
    <w:rsid w:val="00BA0EE9"/>
    <w:rsid w:val="00BA140C"/>
    <w:rsid w:val="00BA1554"/>
    <w:rsid w:val="00BA17F6"/>
    <w:rsid w:val="00BA1B22"/>
    <w:rsid w:val="00BA1CEF"/>
    <w:rsid w:val="00BA1F11"/>
    <w:rsid w:val="00BA2602"/>
    <w:rsid w:val="00BA2884"/>
    <w:rsid w:val="00BA2FA9"/>
    <w:rsid w:val="00BA361D"/>
    <w:rsid w:val="00BA3770"/>
    <w:rsid w:val="00BA3D79"/>
    <w:rsid w:val="00BA432F"/>
    <w:rsid w:val="00BA4B57"/>
    <w:rsid w:val="00BA4C60"/>
    <w:rsid w:val="00BA5980"/>
    <w:rsid w:val="00BA59ED"/>
    <w:rsid w:val="00BA5B5D"/>
    <w:rsid w:val="00BA6168"/>
    <w:rsid w:val="00BB002E"/>
    <w:rsid w:val="00BB061B"/>
    <w:rsid w:val="00BB1330"/>
    <w:rsid w:val="00BB1447"/>
    <w:rsid w:val="00BB182F"/>
    <w:rsid w:val="00BB18A6"/>
    <w:rsid w:val="00BB1CB6"/>
    <w:rsid w:val="00BB2126"/>
    <w:rsid w:val="00BB2443"/>
    <w:rsid w:val="00BB3F03"/>
    <w:rsid w:val="00BB46CA"/>
    <w:rsid w:val="00BB5531"/>
    <w:rsid w:val="00BB57FB"/>
    <w:rsid w:val="00BB5811"/>
    <w:rsid w:val="00BB5875"/>
    <w:rsid w:val="00BB617D"/>
    <w:rsid w:val="00BB659A"/>
    <w:rsid w:val="00BB6980"/>
    <w:rsid w:val="00BB7D98"/>
    <w:rsid w:val="00BC087D"/>
    <w:rsid w:val="00BC0DA4"/>
    <w:rsid w:val="00BC0DB6"/>
    <w:rsid w:val="00BC108C"/>
    <w:rsid w:val="00BC1195"/>
    <w:rsid w:val="00BC1D25"/>
    <w:rsid w:val="00BC2759"/>
    <w:rsid w:val="00BC2868"/>
    <w:rsid w:val="00BC3CD1"/>
    <w:rsid w:val="00BC422D"/>
    <w:rsid w:val="00BC49A9"/>
    <w:rsid w:val="00BC5238"/>
    <w:rsid w:val="00BC568E"/>
    <w:rsid w:val="00BC5D3E"/>
    <w:rsid w:val="00BC697F"/>
    <w:rsid w:val="00BC721A"/>
    <w:rsid w:val="00BC7447"/>
    <w:rsid w:val="00BC7C64"/>
    <w:rsid w:val="00BD030A"/>
    <w:rsid w:val="00BD07B6"/>
    <w:rsid w:val="00BD0871"/>
    <w:rsid w:val="00BD0E21"/>
    <w:rsid w:val="00BD1B08"/>
    <w:rsid w:val="00BD1E72"/>
    <w:rsid w:val="00BD1EB5"/>
    <w:rsid w:val="00BD1F45"/>
    <w:rsid w:val="00BD2DB4"/>
    <w:rsid w:val="00BD2E81"/>
    <w:rsid w:val="00BD2F0E"/>
    <w:rsid w:val="00BD34A7"/>
    <w:rsid w:val="00BD3633"/>
    <w:rsid w:val="00BD4608"/>
    <w:rsid w:val="00BD46D5"/>
    <w:rsid w:val="00BD4A71"/>
    <w:rsid w:val="00BD4D59"/>
    <w:rsid w:val="00BD501B"/>
    <w:rsid w:val="00BD516D"/>
    <w:rsid w:val="00BD595E"/>
    <w:rsid w:val="00BD78D0"/>
    <w:rsid w:val="00BD7A79"/>
    <w:rsid w:val="00BE054C"/>
    <w:rsid w:val="00BE0894"/>
    <w:rsid w:val="00BE0D2B"/>
    <w:rsid w:val="00BE1213"/>
    <w:rsid w:val="00BE17BD"/>
    <w:rsid w:val="00BE17F6"/>
    <w:rsid w:val="00BE1B36"/>
    <w:rsid w:val="00BE1BF2"/>
    <w:rsid w:val="00BE1EE4"/>
    <w:rsid w:val="00BE22F6"/>
    <w:rsid w:val="00BE3073"/>
    <w:rsid w:val="00BE35AE"/>
    <w:rsid w:val="00BE37F5"/>
    <w:rsid w:val="00BE4477"/>
    <w:rsid w:val="00BE4655"/>
    <w:rsid w:val="00BE54A0"/>
    <w:rsid w:val="00BE665D"/>
    <w:rsid w:val="00BE6924"/>
    <w:rsid w:val="00BE7162"/>
    <w:rsid w:val="00BE72DA"/>
    <w:rsid w:val="00BE769B"/>
    <w:rsid w:val="00BF04C8"/>
    <w:rsid w:val="00BF0BBA"/>
    <w:rsid w:val="00BF146A"/>
    <w:rsid w:val="00BF16EC"/>
    <w:rsid w:val="00BF1B2C"/>
    <w:rsid w:val="00BF2195"/>
    <w:rsid w:val="00BF2A86"/>
    <w:rsid w:val="00BF301A"/>
    <w:rsid w:val="00BF3468"/>
    <w:rsid w:val="00BF34E3"/>
    <w:rsid w:val="00BF3615"/>
    <w:rsid w:val="00BF381B"/>
    <w:rsid w:val="00BF3ADF"/>
    <w:rsid w:val="00BF3CFD"/>
    <w:rsid w:val="00BF40A9"/>
    <w:rsid w:val="00BF40B9"/>
    <w:rsid w:val="00BF4926"/>
    <w:rsid w:val="00BF4E5C"/>
    <w:rsid w:val="00BF4F03"/>
    <w:rsid w:val="00BF4F34"/>
    <w:rsid w:val="00BF4F99"/>
    <w:rsid w:val="00BF5055"/>
    <w:rsid w:val="00BF63B0"/>
    <w:rsid w:val="00BF66A4"/>
    <w:rsid w:val="00BF6DA3"/>
    <w:rsid w:val="00BF7588"/>
    <w:rsid w:val="00BF762F"/>
    <w:rsid w:val="00C00098"/>
    <w:rsid w:val="00C002F6"/>
    <w:rsid w:val="00C00AF2"/>
    <w:rsid w:val="00C01274"/>
    <w:rsid w:val="00C02DBE"/>
    <w:rsid w:val="00C0304C"/>
    <w:rsid w:val="00C0487D"/>
    <w:rsid w:val="00C0533B"/>
    <w:rsid w:val="00C0569E"/>
    <w:rsid w:val="00C05FCA"/>
    <w:rsid w:val="00C06ACC"/>
    <w:rsid w:val="00C06AD3"/>
    <w:rsid w:val="00C07ADD"/>
    <w:rsid w:val="00C10FA3"/>
    <w:rsid w:val="00C115F0"/>
    <w:rsid w:val="00C11847"/>
    <w:rsid w:val="00C11903"/>
    <w:rsid w:val="00C11C5A"/>
    <w:rsid w:val="00C12303"/>
    <w:rsid w:val="00C13159"/>
    <w:rsid w:val="00C13800"/>
    <w:rsid w:val="00C144F0"/>
    <w:rsid w:val="00C148E2"/>
    <w:rsid w:val="00C14C4A"/>
    <w:rsid w:val="00C14E76"/>
    <w:rsid w:val="00C15052"/>
    <w:rsid w:val="00C150F9"/>
    <w:rsid w:val="00C152DB"/>
    <w:rsid w:val="00C15CDE"/>
    <w:rsid w:val="00C160EB"/>
    <w:rsid w:val="00C16416"/>
    <w:rsid w:val="00C16A4A"/>
    <w:rsid w:val="00C17E42"/>
    <w:rsid w:val="00C17FC5"/>
    <w:rsid w:val="00C20136"/>
    <w:rsid w:val="00C2080E"/>
    <w:rsid w:val="00C21190"/>
    <w:rsid w:val="00C21228"/>
    <w:rsid w:val="00C21974"/>
    <w:rsid w:val="00C22642"/>
    <w:rsid w:val="00C226A4"/>
    <w:rsid w:val="00C2309F"/>
    <w:rsid w:val="00C234F5"/>
    <w:rsid w:val="00C23946"/>
    <w:rsid w:val="00C23F5A"/>
    <w:rsid w:val="00C25070"/>
    <w:rsid w:val="00C25559"/>
    <w:rsid w:val="00C25ADC"/>
    <w:rsid w:val="00C25C27"/>
    <w:rsid w:val="00C25C51"/>
    <w:rsid w:val="00C25FE6"/>
    <w:rsid w:val="00C26452"/>
    <w:rsid w:val="00C26C39"/>
    <w:rsid w:val="00C26D6B"/>
    <w:rsid w:val="00C2721F"/>
    <w:rsid w:val="00C27288"/>
    <w:rsid w:val="00C27D77"/>
    <w:rsid w:val="00C3041C"/>
    <w:rsid w:val="00C307ED"/>
    <w:rsid w:val="00C30C49"/>
    <w:rsid w:val="00C30E93"/>
    <w:rsid w:val="00C315BB"/>
    <w:rsid w:val="00C31902"/>
    <w:rsid w:val="00C329B8"/>
    <w:rsid w:val="00C32B9E"/>
    <w:rsid w:val="00C3382D"/>
    <w:rsid w:val="00C33888"/>
    <w:rsid w:val="00C3468F"/>
    <w:rsid w:val="00C34A56"/>
    <w:rsid w:val="00C34E41"/>
    <w:rsid w:val="00C34F5B"/>
    <w:rsid w:val="00C3545E"/>
    <w:rsid w:val="00C366AC"/>
    <w:rsid w:val="00C36B97"/>
    <w:rsid w:val="00C36F5A"/>
    <w:rsid w:val="00C378AC"/>
    <w:rsid w:val="00C403F0"/>
    <w:rsid w:val="00C40675"/>
    <w:rsid w:val="00C427E5"/>
    <w:rsid w:val="00C42996"/>
    <w:rsid w:val="00C42D58"/>
    <w:rsid w:val="00C42E25"/>
    <w:rsid w:val="00C434AB"/>
    <w:rsid w:val="00C434E1"/>
    <w:rsid w:val="00C439FA"/>
    <w:rsid w:val="00C44BE2"/>
    <w:rsid w:val="00C44C10"/>
    <w:rsid w:val="00C45819"/>
    <w:rsid w:val="00C45BFF"/>
    <w:rsid w:val="00C45F62"/>
    <w:rsid w:val="00C460E1"/>
    <w:rsid w:val="00C46297"/>
    <w:rsid w:val="00C47461"/>
    <w:rsid w:val="00C47A6A"/>
    <w:rsid w:val="00C47A8D"/>
    <w:rsid w:val="00C47BC5"/>
    <w:rsid w:val="00C505EA"/>
    <w:rsid w:val="00C50CE0"/>
    <w:rsid w:val="00C50DAC"/>
    <w:rsid w:val="00C51589"/>
    <w:rsid w:val="00C51DB9"/>
    <w:rsid w:val="00C524DA"/>
    <w:rsid w:val="00C52610"/>
    <w:rsid w:val="00C5275F"/>
    <w:rsid w:val="00C52A4E"/>
    <w:rsid w:val="00C52D57"/>
    <w:rsid w:val="00C53927"/>
    <w:rsid w:val="00C54114"/>
    <w:rsid w:val="00C548EC"/>
    <w:rsid w:val="00C54DCB"/>
    <w:rsid w:val="00C55839"/>
    <w:rsid w:val="00C55C72"/>
    <w:rsid w:val="00C560B2"/>
    <w:rsid w:val="00C56552"/>
    <w:rsid w:val="00C56770"/>
    <w:rsid w:val="00C56865"/>
    <w:rsid w:val="00C57045"/>
    <w:rsid w:val="00C573C1"/>
    <w:rsid w:val="00C575B8"/>
    <w:rsid w:val="00C57C84"/>
    <w:rsid w:val="00C57D8C"/>
    <w:rsid w:val="00C61594"/>
    <w:rsid w:val="00C6331F"/>
    <w:rsid w:val="00C63484"/>
    <w:rsid w:val="00C63C2C"/>
    <w:rsid w:val="00C644BE"/>
    <w:rsid w:val="00C644DD"/>
    <w:rsid w:val="00C64881"/>
    <w:rsid w:val="00C6609F"/>
    <w:rsid w:val="00C661DC"/>
    <w:rsid w:val="00C6639A"/>
    <w:rsid w:val="00C663A5"/>
    <w:rsid w:val="00C66AAC"/>
    <w:rsid w:val="00C671C3"/>
    <w:rsid w:val="00C67237"/>
    <w:rsid w:val="00C6760E"/>
    <w:rsid w:val="00C67625"/>
    <w:rsid w:val="00C676EB"/>
    <w:rsid w:val="00C67909"/>
    <w:rsid w:val="00C67CF7"/>
    <w:rsid w:val="00C67FD0"/>
    <w:rsid w:val="00C70835"/>
    <w:rsid w:val="00C70C48"/>
    <w:rsid w:val="00C71018"/>
    <w:rsid w:val="00C712C6"/>
    <w:rsid w:val="00C72248"/>
    <w:rsid w:val="00C724F7"/>
    <w:rsid w:val="00C72511"/>
    <w:rsid w:val="00C734C8"/>
    <w:rsid w:val="00C734CB"/>
    <w:rsid w:val="00C738B2"/>
    <w:rsid w:val="00C73E4E"/>
    <w:rsid w:val="00C751A5"/>
    <w:rsid w:val="00C763F2"/>
    <w:rsid w:val="00C7654E"/>
    <w:rsid w:val="00C76703"/>
    <w:rsid w:val="00C7676D"/>
    <w:rsid w:val="00C76BDE"/>
    <w:rsid w:val="00C77C76"/>
    <w:rsid w:val="00C8022C"/>
    <w:rsid w:val="00C8245A"/>
    <w:rsid w:val="00C825CB"/>
    <w:rsid w:val="00C826F1"/>
    <w:rsid w:val="00C83371"/>
    <w:rsid w:val="00C83A4A"/>
    <w:rsid w:val="00C84B5A"/>
    <w:rsid w:val="00C85C65"/>
    <w:rsid w:val="00C8687E"/>
    <w:rsid w:val="00C87456"/>
    <w:rsid w:val="00C87875"/>
    <w:rsid w:val="00C87AA2"/>
    <w:rsid w:val="00C9050B"/>
    <w:rsid w:val="00C9070D"/>
    <w:rsid w:val="00C90957"/>
    <w:rsid w:val="00C912F9"/>
    <w:rsid w:val="00C91459"/>
    <w:rsid w:val="00C9300E"/>
    <w:rsid w:val="00C93985"/>
    <w:rsid w:val="00C93F26"/>
    <w:rsid w:val="00C94696"/>
    <w:rsid w:val="00C9612E"/>
    <w:rsid w:val="00C96546"/>
    <w:rsid w:val="00C96614"/>
    <w:rsid w:val="00C96C18"/>
    <w:rsid w:val="00C96F95"/>
    <w:rsid w:val="00C9767B"/>
    <w:rsid w:val="00C977B9"/>
    <w:rsid w:val="00C97B4E"/>
    <w:rsid w:val="00CA044C"/>
    <w:rsid w:val="00CA09AD"/>
    <w:rsid w:val="00CA156A"/>
    <w:rsid w:val="00CA1600"/>
    <w:rsid w:val="00CA1B1C"/>
    <w:rsid w:val="00CA1B91"/>
    <w:rsid w:val="00CA2064"/>
    <w:rsid w:val="00CA2C64"/>
    <w:rsid w:val="00CA2F95"/>
    <w:rsid w:val="00CA3A07"/>
    <w:rsid w:val="00CA3EF5"/>
    <w:rsid w:val="00CA3FA7"/>
    <w:rsid w:val="00CA4021"/>
    <w:rsid w:val="00CA4AA3"/>
    <w:rsid w:val="00CA54E0"/>
    <w:rsid w:val="00CA5B5C"/>
    <w:rsid w:val="00CA6509"/>
    <w:rsid w:val="00CA6722"/>
    <w:rsid w:val="00CA673D"/>
    <w:rsid w:val="00CA67B9"/>
    <w:rsid w:val="00CA6C6A"/>
    <w:rsid w:val="00CA750D"/>
    <w:rsid w:val="00CA75EB"/>
    <w:rsid w:val="00CA7CD9"/>
    <w:rsid w:val="00CA7FD3"/>
    <w:rsid w:val="00CB0AD3"/>
    <w:rsid w:val="00CB139D"/>
    <w:rsid w:val="00CB1D48"/>
    <w:rsid w:val="00CB1E17"/>
    <w:rsid w:val="00CB23A4"/>
    <w:rsid w:val="00CB29D6"/>
    <w:rsid w:val="00CB2D20"/>
    <w:rsid w:val="00CB318A"/>
    <w:rsid w:val="00CB3710"/>
    <w:rsid w:val="00CB4098"/>
    <w:rsid w:val="00CB480E"/>
    <w:rsid w:val="00CB5E9F"/>
    <w:rsid w:val="00CB693A"/>
    <w:rsid w:val="00CB6BFE"/>
    <w:rsid w:val="00CB6FBA"/>
    <w:rsid w:val="00CB75C1"/>
    <w:rsid w:val="00CB799D"/>
    <w:rsid w:val="00CC0BAE"/>
    <w:rsid w:val="00CC0BB2"/>
    <w:rsid w:val="00CC0C99"/>
    <w:rsid w:val="00CC10ED"/>
    <w:rsid w:val="00CC1A19"/>
    <w:rsid w:val="00CC1F08"/>
    <w:rsid w:val="00CC3384"/>
    <w:rsid w:val="00CC3606"/>
    <w:rsid w:val="00CC36AF"/>
    <w:rsid w:val="00CC3C37"/>
    <w:rsid w:val="00CC47B6"/>
    <w:rsid w:val="00CC4BD9"/>
    <w:rsid w:val="00CC4F7F"/>
    <w:rsid w:val="00CC538C"/>
    <w:rsid w:val="00CC57D9"/>
    <w:rsid w:val="00CC6093"/>
    <w:rsid w:val="00CC6584"/>
    <w:rsid w:val="00CC7CC8"/>
    <w:rsid w:val="00CC7CEB"/>
    <w:rsid w:val="00CD0152"/>
    <w:rsid w:val="00CD1440"/>
    <w:rsid w:val="00CD1C42"/>
    <w:rsid w:val="00CD1E89"/>
    <w:rsid w:val="00CD23CC"/>
    <w:rsid w:val="00CD262E"/>
    <w:rsid w:val="00CD2CB4"/>
    <w:rsid w:val="00CD2D22"/>
    <w:rsid w:val="00CD3466"/>
    <w:rsid w:val="00CD4922"/>
    <w:rsid w:val="00CD51EA"/>
    <w:rsid w:val="00CD576E"/>
    <w:rsid w:val="00CD6424"/>
    <w:rsid w:val="00CD72CA"/>
    <w:rsid w:val="00CD73AF"/>
    <w:rsid w:val="00CD77C0"/>
    <w:rsid w:val="00CD7A1D"/>
    <w:rsid w:val="00CD7A3C"/>
    <w:rsid w:val="00CD7BED"/>
    <w:rsid w:val="00CE07C9"/>
    <w:rsid w:val="00CE10CE"/>
    <w:rsid w:val="00CE1278"/>
    <w:rsid w:val="00CE13B5"/>
    <w:rsid w:val="00CE1838"/>
    <w:rsid w:val="00CE2577"/>
    <w:rsid w:val="00CE2853"/>
    <w:rsid w:val="00CE2F04"/>
    <w:rsid w:val="00CE303B"/>
    <w:rsid w:val="00CE3B79"/>
    <w:rsid w:val="00CE40E0"/>
    <w:rsid w:val="00CE4365"/>
    <w:rsid w:val="00CE4B4F"/>
    <w:rsid w:val="00CE4B77"/>
    <w:rsid w:val="00CE4CB4"/>
    <w:rsid w:val="00CE5313"/>
    <w:rsid w:val="00CE5AC7"/>
    <w:rsid w:val="00CE6095"/>
    <w:rsid w:val="00CE6179"/>
    <w:rsid w:val="00CE6E00"/>
    <w:rsid w:val="00CE782D"/>
    <w:rsid w:val="00CF041E"/>
    <w:rsid w:val="00CF04EF"/>
    <w:rsid w:val="00CF06FD"/>
    <w:rsid w:val="00CF0AD4"/>
    <w:rsid w:val="00CF101B"/>
    <w:rsid w:val="00CF1AA1"/>
    <w:rsid w:val="00CF2B43"/>
    <w:rsid w:val="00CF2C1D"/>
    <w:rsid w:val="00CF2E7B"/>
    <w:rsid w:val="00CF3D08"/>
    <w:rsid w:val="00CF3EDE"/>
    <w:rsid w:val="00CF4035"/>
    <w:rsid w:val="00CF410A"/>
    <w:rsid w:val="00CF4445"/>
    <w:rsid w:val="00CF4AAE"/>
    <w:rsid w:val="00CF5381"/>
    <w:rsid w:val="00CF656E"/>
    <w:rsid w:val="00CF6983"/>
    <w:rsid w:val="00CF69AE"/>
    <w:rsid w:val="00CF6ADE"/>
    <w:rsid w:val="00CF7093"/>
    <w:rsid w:val="00D005C2"/>
    <w:rsid w:val="00D007AB"/>
    <w:rsid w:val="00D007CA"/>
    <w:rsid w:val="00D014A5"/>
    <w:rsid w:val="00D014E3"/>
    <w:rsid w:val="00D01C60"/>
    <w:rsid w:val="00D01E9D"/>
    <w:rsid w:val="00D02016"/>
    <w:rsid w:val="00D028FD"/>
    <w:rsid w:val="00D02D55"/>
    <w:rsid w:val="00D04329"/>
    <w:rsid w:val="00D04966"/>
    <w:rsid w:val="00D051F2"/>
    <w:rsid w:val="00D055F8"/>
    <w:rsid w:val="00D0577F"/>
    <w:rsid w:val="00D0609D"/>
    <w:rsid w:val="00D073CF"/>
    <w:rsid w:val="00D0752A"/>
    <w:rsid w:val="00D07750"/>
    <w:rsid w:val="00D102C7"/>
    <w:rsid w:val="00D1103C"/>
    <w:rsid w:val="00D11631"/>
    <w:rsid w:val="00D11C76"/>
    <w:rsid w:val="00D11CE0"/>
    <w:rsid w:val="00D11EAC"/>
    <w:rsid w:val="00D11FF3"/>
    <w:rsid w:val="00D127EC"/>
    <w:rsid w:val="00D12B14"/>
    <w:rsid w:val="00D12C87"/>
    <w:rsid w:val="00D149F7"/>
    <w:rsid w:val="00D15217"/>
    <w:rsid w:val="00D153B7"/>
    <w:rsid w:val="00D157E8"/>
    <w:rsid w:val="00D15D52"/>
    <w:rsid w:val="00D15F4F"/>
    <w:rsid w:val="00D166A1"/>
    <w:rsid w:val="00D17AA7"/>
    <w:rsid w:val="00D20042"/>
    <w:rsid w:val="00D207DB"/>
    <w:rsid w:val="00D21A2E"/>
    <w:rsid w:val="00D222D0"/>
    <w:rsid w:val="00D227A1"/>
    <w:rsid w:val="00D22879"/>
    <w:rsid w:val="00D22981"/>
    <w:rsid w:val="00D22BCA"/>
    <w:rsid w:val="00D22DA2"/>
    <w:rsid w:val="00D23385"/>
    <w:rsid w:val="00D245D1"/>
    <w:rsid w:val="00D24765"/>
    <w:rsid w:val="00D24883"/>
    <w:rsid w:val="00D24A24"/>
    <w:rsid w:val="00D24E15"/>
    <w:rsid w:val="00D2558F"/>
    <w:rsid w:val="00D26BA5"/>
    <w:rsid w:val="00D279A8"/>
    <w:rsid w:val="00D30033"/>
    <w:rsid w:val="00D3050B"/>
    <w:rsid w:val="00D309B4"/>
    <w:rsid w:val="00D318FB"/>
    <w:rsid w:val="00D31AFB"/>
    <w:rsid w:val="00D324D4"/>
    <w:rsid w:val="00D33806"/>
    <w:rsid w:val="00D33D81"/>
    <w:rsid w:val="00D33E00"/>
    <w:rsid w:val="00D34208"/>
    <w:rsid w:val="00D34F25"/>
    <w:rsid w:val="00D35052"/>
    <w:rsid w:val="00D3573C"/>
    <w:rsid w:val="00D358F8"/>
    <w:rsid w:val="00D35BB9"/>
    <w:rsid w:val="00D35CFC"/>
    <w:rsid w:val="00D3698F"/>
    <w:rsid w:val="00D36A48"/>
    <w:rsid w:val="00D375FC"/>
    <w:rsid w:val="00D37D2A"/>
    <w:rsid w:val="00D40618"/>
    <w:rsid w:val="00D407F1"/>
    <w:rsid w:val="00D40821"/>
    <w:rsid w:val="00D417B3"/>
    <w:rsid w:val="00D42192"/>
    <w:rsid w:val="00D4234E"/>
    <w:rsid w:val="00D4285C"/>
    <w:rsid w:val="00D43F44"/>
    <w:rsid w:val="00D442D2"/>
    <w:rsid w:val="00D444F2"/>
    <w:rsid w:val="00D448B0"/>
    <w:rsid w:val="00D44954"/>
    <w:rsid w:val="00D449C3"/>
    <w:rsid w:val="00D449C8"/>
    <w:rsid w:val="00D452E7"/>
    <w:rsid w:val="00D453EF"/>
    <w:rsid w:val="00D45864"/>
    <w:rsid w:val="00D4588B"/>
    <w:rsid w:val="00D4591C"/>
    <w:rsid w:val="00D45DC9"/>
    <w:rsid w:val="00D45EB4"/>
    <w:rsid w:val="00D461C1"/>
    <w:rsid w:val="00D469DA"/>
    <w:rsid w:val="00D46C70"/>
    <w:rsid w:val="00D4744D"/>
    <w:rsid w:val="00D47F12"/>
    <w:rsid w:val="00D514D8"/>
    <w:rsid w:val="00D515E2"/>
    <w:rsid w:val="00D51C14"/>
    <w:rsid w:val="00D523D3"/>
    <w:rsid w:val="00D5277F"/>
    <w:rsid w:val="00D537FC"/>
    <w:rsid w:val="00D53E29"/>
    <w:rsid w:val="00D5475D"/>
    <w:rsid w:val="00D54F2D"/>
    <w:rsid w:val="00D5508F"/>
    <w:rsid w:val="00D550BB"/>
    <w:rsid w:val="00D552D6"/>
    <w:rsid w:val="00D560AF"/>
    <w:rsid w:val="00D575E5"/>
    <w:rsid w:val="00D608D7"/>
    <w:rsid w:val="00D61288"/>
    <w:rsid w:val="00D61475"/>
    <w:rsid w:val="00D61D3E"/>
    <w:rsid w:val="00D625FC"/>
    <w:rsid w:val="00D628E8"/>
    <w:rsid w:val="00D62C50"/>
    <w:rsid w:val="00D636B6"/>
    <w:rsid w:val="00D6373A"/>
    <w:rsid w:val="00D63FD4"/>
    <w:rsid w:val="00D63FE3"/>
    <w:rsid w:val="00D642F6"/>
    <w:rsid w:val="00D654D5"/>
    <w:rsid w:val="00D654F7"/>
    <w:rsid w:val="00D65502"/>
    <w:rsid w:val="00D65DA9"/>
    <w:rsid w:val="00D65E10"/>
    <w:rsid w:val="00D665A8"/>
    <w:rsid w:val="00D66C82"/>
    <w:rsid w:val="00D67989"/>
    <w:rsid w:val="00D67C19"/>
    <w:rsid w:val="00D70776"/>
    <w:rsid w:val="00D7081B"/>
    <w:rsid w:val="00D7086C"/>
    <w:rsid w:val="00D708E1"/>
    <w:rsid w:val="00D70DE2"/>
    <w:rsid w:val="00D71000"/>
    <w:rsid w:val="00D7234C"/>
    <w:rsid w:val="00D72D95"/>
    <w:rsid w:val="00D72DA3"/>
    <w:rsid w:val="00D730C5"/>
    <w:rsid w:val="00D7325D"/>
    <w:rsid w:val="00D74419"/>
    <w:rsid w:val="00D745A5"/>
    <w:rsid w:val="00D74751"/>
    <w:rsid w:val="00D74E98"/>
    <w:rsid w:val="00D75A15"/>
    <w:rsid w:val="00D763ED"/>
    <w:rsid w:val="00D764EB"/>
    <w:rsid w:val="00D76F0A"/>
    <w:rsid w:val="00D778A0"/>
    <w:rsid w:val="00D8014F"/>
    <w:rsid w:val="00D80C3A"/>
    <w:rsid w:val="00D80D0F"/>
    <w:rsid w:val="00D80E1F"/>
    <w:rsid w:val="00D810EA"/>
    <w:rsid w:val="00D815B2"/>
    <w:rsid w:val="00D8192D"/>
    <w:rsid w:val="00D81A84"/>
    <w:rsid w:val="00D8210C"/>
    <w:rsid w:val="00D8215E"/>
    <w:rsid w:val="00D82404"/>
    <w:rsid w:val="00D83543"/>
    <w:rsid w:val="00D83837"/>
    <w:rsid w:val="00D838F9"/>
    <w:rsid w:val="00D83AFF"/>
    <w:rsid w:val="00D83B6B"/>
    <w:rsid w:val="00D84384"/>
    <w:rsid w:val="00D843C4"/>
    <w:rsid w:val="00D84857"/>
    <w:rsid w:val="00D85295"/>
    <w:rsid w:val="00D85A86"/>
    <w:rsid w:val="00D85C04"/>
    <w:rsid w:val="00D863B7"/>
    <w:rsid w:val="00D867DF"/>
    <w:rsid w:val="00D86EBB"/>
    <w:rsid w:val="00D87B30"/>
    <w:rsid w:val="00D87E7F"/>
    <w:rsid w:val="00D87EA8"/>
    <w:rsid w:val="00D900AF"/>
    <w:rsid w:val="00D90532"/>
    <w:rsid w:val="00D90E60"/>
    <w:rsid w:val="00D90E74"/>
    <w:rsid w:val="00D911A0"/>
    <w:rsid w:val="00D914B5"/>
    <w:rsid w:val="00D9161E"/>
    <w:rsid w:val="00D919FB"/>
    <w:rsid w:val="00D91E0D"/>
    <w:rsid w:val="00D92247"/>
    <w:rsid w:val="00D92573"/>
    <w:rsid w:val="00D92A7F"/>
    <w:rsid w:val="00D933F1"/>
    <w:rsid w:val="00D93D5A"/>
    <w:rsid w:val="00D93DEF"/>
    <w:rsid w:val="00D941DE"/>
    <w:rsid w:val="00D94386"/>
    <w:rsid w:val="00D9478E"/>
    <w:rsid w:val="00D9484E"/>
    <w:rsid w:val="00D94F1D"/>
    <w:rsid w:val="00D95A0F"/>
    <w:rsid w:val="00D95C97"/>
    <w:rsid w:val="00D96149"/>
    <w:rsid w:val="00D965D0"/>
    <w:rsid w:val="00D96902"/>
    <w:rsid w:val="00D96EA2"/>
    <w:rsid w:val="00DA0C17"/>
    <w:rsid w:val="00DA119C"/>
    <w:rsid w:val="00DA2097"/>
    <w:rsid w:val="00DA23CF"/>
    <w:rsid w:val="00DA24DA"/>
    <w:rsid w:val="00DA269E"/>
    <w:rsid w:val="00DA3412"/>
    <w:rsid w:val="00DA3DC7"/>
    <w:rsid w:val="00DA4943"/>
    <w:rsid w:val="00DA51E6"/>
    <w:rsid w:val="00DA56A3"/>
    <w:rsid w:val="00DA64DD"/>
    <w:rsid w:val="00DA69E0"/>
    <w:rsid w:val="00DA6C96"/>
    <w:rsid w:val="00DA6F10"/>
    <w:rsid w:val="00DA71E6"/>
    <w:rsid w:val="00DA72E3"/>
    <w:rsid w:val="00DA75F8"/>
    <w:rsid w:val="00DA7EE1"/>
    <w:rsid w:val="00DB0188"/>
    <w:rsid w:val="00DB0D85"/>
    <w:rsid w:val="00DB110D"/>
    <w:rsid w:val="00DB14FB"/>
    <w:rsid w:val="00DB1AD3"/>
    <w:rsid w:val="00DB1E47"/>
    <w:rsid w:val="00DB1F31"/>
    <w:rsid w:val="00DB2060"/>
    <w:rsid w:val="00DB2089"/>
    <w:rsid w:val="00DB20A1"/>
    <w:rsid w:val="00DB3AFA"/>
    <w:rsid w:val="00DB4128"/>
    <w:rsid w:val="00DB4C91"/>
    <w:rsid w:val="00DB4E25"/>
    <w:rsid w:val="00DB521A"/>
    <w:rsid w:val="00DB5C84"/>
    <w:rsid w:val="00DB68DA"/>
    <w:rsid w:val="00DB6AC2"/>
    <w:rsid w:val="00DB6E49"/>
    <w:rsid w:val="00DB7324"/>
    <w:rsid w:val="00DC0553"/>
    <w:rsid w:val="00DC0C79"/>
    <w:rsid w:val="00DC1FC4"/>
    <w:rsid w:val="00DC264F"/>
    <w:rsid w:val="00DC271B"/>
    <w:rsid w:val="00DC2C60"/>
    <w:rsid w:val="00DC3349"/>
    <w:rsid w:val="00DC39BF"/>
    <w:rsid w:val="00DC4171"/>
    <w:rsid w:val="00DC42AD"/>
    <w:rsid w:val="00DC4820"/>
    <w:rsid w:val="00DC495C"/>
    <w:rsid w:val="00DC4D1F"/>
    <w:rsid w:val="00DC52B2"/>
    <w:rsid w:val="00DC52DD"/>
    <w:rsid w:val="00DC5576"/>
    <w:rsid w:val="00DC683E"/>
    <w:rsid w:val="00DC698D"/>
    <w:rsid w:val="00DC6C7E"/>
    <w:rsid w:val="00DC6D9B"/>
    <w:rsid w:val="00DC6DB9"/>
    <w:rsid w:val="00DC77A3"/>
    <w:rsid w:val="00DC7AE1"/>
    <w:rsid w:val="00DC7BC9"/>
    <w:rsid w:val="00DC7C0D"/>
    <w:rsid w:val="00DC7FC7"/>
    <w:rsid w:val="00DD07E7"/>
    <w:rsid w:val="00DD0A17"/>
    <w:rsid w:val="00DD1154"/>
    <w:rsid w:val="00DD1630"/>
    <w:rsid w:val="00DD166B"/>
    <w:rsid w:val="00DD19AB"/>
    <w:rsid w:val="00DD2317"/>
    <w:rsid w:val="00DD23E4"/>
    <w:rsid w:val="00DD2471"/>
    <w:rsid w:val="00DD288F"/>
    <w:rsid w:val="00DD3148"/>
    <w:rsid w:val="00DD3B77"/>
    <w:rsid w:val="00DD4154"/>
    <w:rsid w:val="00DD4ED6"/>
    <w:rsid w:val="00DD525E"/>
    <w:rsid w:val="00DD535B"/>
    <w:rsid w:val="00DD5FCE"/>
    <w:rsid w:val="00DD6675"/>
    <w:rsid w:val="00DD730E"/>
    <w:rsid w:val="00DE0191"/>
    <w:rsid w:val="00DE03C7"/>
    <w:rsid w:val="00DE1419"/>
    <w:rsid w:val="00DE16AA"/>
    <w:rsid w:val="00DE198A"/>
    <w:rsid w:val="00DE2100"/>
    <w:rsid w:val="00DE3213"/>
    <w:rsid w:val="00DE3E84"/>
    <w:rsid w:val="00DE42A3"/>
    <w:rsid w:val="00DE485B"/>
    <w:rsid w:val="00DE49C5"/>
    <w:rsid w:val="00DE49C7"/>
    <w:rsid w:val="00DE4A80"/>
    <w:rsid w:val="00DE4D48"/>
    <w:rsid w:val="00DE5574"/>
    <w:rsid w:val="00DE5619"/>
    <w:rsid w:val="00DE5A92"/>
    <w:rsid w:val="00DE5C8A"/>
    <w:rsid w:val="00DE72E9"/>
    <w:rsid w:val="00DE74E3"/>
    <w:rsid w:val="00DF16BD"/>
    <w:rsid w:val="00DF16C9"/>
    <w:rsid w:val="00DF1804"/>
    <w:rsid w:val="00DF18DA"/>
    <w:rsid w:val="00DF1932"/>
    <w:rsid w:val="00DF1986"/>
    <w:rsid w:val="00DF1B26"/>
    <w:rsid w:val="00DF2616"/>
    <w:rsid w:val="00DF3301"/>
    <w:rsid w:val="00DF3A67"/>
    <w:rsid w:val="00DF3E2F"/>
    <w:rsid w:val="00DF442E"/>
    <w:rsid w:val="00DF4468"/>
    <w:rsid w:val="00DF47A3"/>
    <w:rsid w:val="00DF4865"/>
    <w:rsid w:val="00DF4A3E"/>
    <w:rsid w:val="00DF500F"/>
    <w:rsid w:val="00DF68F3"/>
    <w:rsid w:val="00DF6F94"/>
    <w:rsid w:val="00DF7198"/>
    <w:rsid w:val="00DF72A1"/>
    <w:rsid w:val="00DF7792"/>
    <w:rsid w:val="00DF7E43"/>
    <w:rsid w:val="00E00130"/>
    <w:rsid w:val="00E0056E"/>
    <w:rsid w:val="00E00EBF"/>
    <w:rsid w:val="00E016A8"/>
    <w:rsid w:val="00E026EB"/>
    <w:rsid w:val="00E028D7"/>
    <w:rsid w:val="00E02D0E"/>
    <w:rsid w:val="00E02F6F"/>
    <w:rsid w:val="00E0325B"/>
    <w:rsid w:val="00E03618"/>
    <w:rsid w:val="00E0380D"/>
    <w:rsid w:val="00E03D0C"/>
    <w:rsid w:val="00E03EDC"/>
    <w:rsid w:val="00E03F04"/>
    <w:rsid w:val="00E0408D"/>
    <w:rsid w:val="00E0455F"/>
    <w:rsid w:val="00E0484C"/>
    <w:rsid w:val="00E055E7"/>
    <w:rsid w:val="00E06504"/>
    <w:rsid w:val="00E065DD"/>
    <w:rsid w:val="00E06759"/>
    <w:rsid w:val="00E06AB8"/>
    <w:rsid w:val="00E06CA4"/>
    <w:rsid w:val="00E073D9"/>
    <w:rsid w:val="00E07555"/>
    <w:rsid w:val="00E07E39"/>
    <w:rsid w:val="00E07E54"/>
    <w:rsid w:val="00E10291"/>
    <w:rsid w:val="00E10920"/>
    <w:rsid w:val="00E10B53"/>
    <w:rsid w:val="00E10CB7"/>
    <w:rsid w:val="00E11F6B"/>
    <w:rsid w:val="00E1202A"/>
    <w:rsid w:val="00E1300C"/>
    <w:rsid w:val="00E1481D"/>
    <w:rsid w:val="00E14853"/>
    <w:rsid w:val="00E14903"/>
    <w:rsid w:val="00E14C2B"/>
    <w:rsid w:val="00E150C6"/>
    <w:rsid w:val="00E152E9"/>
    <w:rsid w:val="00E15E3B"/>
    <w:rsid w:val="00E15F66"/>
    <w:rsid w:val="00E16155"/>
    <w:rsid w:val="00E16962"/>
    <w:rsid w:val="00E171E3"/>
    <w:rsid w:val="00E17CED"/>
    <w:rsid w:val="00E21183"/>
    <w:rsid w:val="00E21379"/>
    <w:rsid w:val="00E21D2C"/>
    <w:rsid w:val="00E22613"/>
    <w:rsid w:val="00E226D0"/>
    <w:rsid w:val="00E228D1"/>
    <w:rsid w:val="00E22F33"/>
    <w:rsid w:val="00E23541"/>
    <w:rsid w:val="00E23F16"/>
    <w:rsid w:val="00E24101"/>
    <w:rsid w:val="00E2433D"/>
    <w:rsid w:val="00E24525"/>
    <w:rsid w:val="00E245C3"/>
    <w:rsid w:val="00E247D5"/>
    <w:rsid w:val="00E24964"/>
    <w:rsid w:val="00E24D53"/>
    <w:rsid w:val="00E25C72"/>
    <w:rsid w:val="00E25EC7"/>
    <w:rsid w:val="00E26364"/>
    <w:rsid w:val="00E26B6C"/>
    <w:rsid w:val="00E27C08"/>
    <w:rsid w:val="00E27C86"/>
    <w:rsid w:val="00E3098C"/>
    <w:rsid w:val="00E3099D"/>
    <w:rsid w:val="00E309BC"/>
    <w:rsid w:val="00E30CA9"/>
    <w:rsid w:val="00E30D50"/>
    <w:rsid w:val="00E310DA"/>
    <w:rsid w:val="00E31ED5"/>
    <w:rsid w:val="00E31F09"/>
    <w:rsid w:val="00E3231E"/>
    <w:rsid w:val="00E327A4"/>
    <w:rsid w:val="00E328AD"/>
    <w:rsid w:val="00E33E42"/>
    <w:rsid w:val="00E33FF7"/>
    <w:rsid w:val="00E340C8"/>
    <w:rsid w:val="00E35263"/>
    <w:rsid w:val="00E354B8"/>
    <w:rsid w:val="00E359FF"/>
    <w:rsid w:val="00E36EED"/>
    <w:rsid w:val="00E37095"/>
    <w:rsid w:val="00E3760B"/>
    <w:rsid w:val="00E40BFF"/>
    <w:rsid w:val="00E41205"/>
    <w:rsid w:val="00E416F3"/>
    <w:rsid w:val="00E41843"/>
    <w:rsid w:val="00E41B69"/>
    <w:rsid w:val="00E42185"/>
    <w:rsid w:val="00E427D5"/>
    <w:rsid w:val="00E43C67"/>
    <w:rsid w:val="00E448E3"/>
    <w:rsid w:val="00E44E24"/>
    <w:rsid w:val="00E45886"/>
    <w:rsid w:val="00E459DA"/>
    <w:rsid w:val="00E45DE7"/>
    <w:rsid w:val="00E45EB3"/>
    <w:rsid w:val="00E4604C"/>
    <w:rsid w:val="00E462DA"/>
    <w:rsid w:val="00E4668F"/>
    <w:rsid w:val="00E46830"/>
    <w:rsid w:val="00E47028"/>
    <w:rsid w:val="00E47144"/>
    <w:rsid w:val="00E47697"/>
    <w:rsid w:val="00E47733"/>
    <w:rsid w:val="00E47EB4"/>
    <w:rsid w:val="00E47F9C"/>
    <w:rsid w:val="00E47FBE"/>
    <w:rsid w:val="00E50A83"/>
    <w:rsid w:val="00E5120E"/>
    <w:rsid w:val="00E5177C"/>
    <w:rsid w:val="00E517FE"/>
    <w:rsid w:val="00E51815"/>
    <w:rsid w:val="00E52A10"/>
    <w:rsid w:val="00E533DC"/>
    <w:rsid w:val="00E5345C"/>
    <w:rsid w:val="00E5351E"/>
    <w:rsid w:val="00E53874"/>
    <w:rsid w:val="00E5482D"/>
    <w:rsid w:val="00E548CC"/>
    <w:rsid w:val="00E55F5D"/>
    <w:rsid w:val="00E55FD4"/>
    <w:rsid w:val="00E60300"/>
    <w:rsid w:val="00E606AA"/>
    <w:rsid w:val="00E61935"/>
    <w:rsid w:val="00E61969"/>
    <w:rsid w:val="00E61C4C"/>
    <w:rsid w:val="00E61C98"/>
    <w:rsid w:val="00E620DB"/>
    <w:rsid w:val="00E62611"/>
    <w:rsid w:val="00E626E4"/>
    <w:rsid w:val="00E627EB"/>
    <w:rsid w:val="00E63167"/>
    <w:rsid w:val="00E633BE"/>
    <w:rsid w:val="00E63B6E"/>
    <w:rsid w:val="00E6406A"/>
    <w:rsid w:val="00E651FE"/>
    <w:rsid w:val="00E65333"/>
    <w:rsid w:val="00E6592C"/>
    <w:rsid w:val="00E65FA4"/>
    <w:rsid w:val="00E66607"/>
    <w:rsid w:val="00E67AFA"/>
    <w:rsid w:val="00E70994"/>
    <w:rsid w:val="00E71161"/>
    <w:rsid w:val="00E712F8"/>
    <w:rsid w:val="00E71814"/>
    <w:rsid w:val="00E73982"/>
    <w:rsid w:val="00E73C17"/>
    <w:rsid w:val="00E73E80"/>
    <w:rsid w:val="00E743EA"/>
    <w:rsid w:val="00E74BC1"/>
    <w:rsid w:val="00E750D0"/>
    <w:rsid w:val="00E75950"/>
    <w:rsid w:val="00E75B4D"/>
    <w:rsid w:val="00E766E1"/>
    <w:rsid w:val="00E76902"/>
    <w:rsid w:val="00E7742B"/>
    <w:rsid w:val="00E77804"/>
    <w:rsid w:val="00E77B5F"/>
    <w:rsid w:val="00E800DE"/>
    <w:rsid w:val="00E80D5F"/>
    <w:rsid w:val="00E81074"/>
    <w:rsid w:val="00E81F0A"/>
    <w:rsid w:val="00E82289"/>
    <w:rsid w:val="00E829A3"/>
    <w:rsid w:val="00E837AE"/>
    <w:rsid w:val="00E83E73"/>
    <w:rsid w:val="00E841B3"/>
    <w:rsid w:val="00E84466"/>
    <w:rsid w:val="00E849BA"/>
    <w:rsid w:val="00E84D3D"/>
    <w:rsid w:val="00E85281"/>
    <w:rsid w:val="00E860EA"/>
    <w:rsid w:val="00E86D65"/>
    <w:rsid w:val="00E874E7"/>
    <w:rsid w:val="00E879D4"/>
    <w:rsid w:val="00E87AD0"/>
    <w:rsid w:val="00E90051"/>
    <w:rsid w:val="00E90568"/>
    <w:rsid w:val="00E90A7D"/>
    <w:rsid w:val="00E90CB2"/>
    <w:rsid w:val="00E91207"/>
    <w:rsid w:val="00E92D57"/>
    <w:rsid w:val="00E92D6B"/>
    <w:rsid w:val="00E93135"/>
    <w:rsid w:val="00E93B67"/>
    <w:rsid w:val="00E93F76"/>
    <w:rsid w:val="00E94E1A"/>
    <w:rsid w:val="00E950B4"/>
    <w:rsid w:val="00E9523F"/>
    <w:rsid w:val="00E95BC4"/>
    <w:rsid w:val="00E96113"/>
    <w:rsid w:val="00E969F2"/>
    <w:rsid w:val="00E97170"/>
    <w:rsid w:val="00E97191"/>
    <w:rsid w:val="00E97947"/>
    <w:rsid w:val="00E97DC0"/>
    <w:rsid w:val="00EA0797"/>
    <w:rsid w:val="00EA08F9"/>
    <w:rsid w:val="00EA12DB"/>
    <w:rsid w:val="00EA14CE"/>
    <w:rsid w:val="00EA19AF"/>
    <w:rsid w:val="00EA1ECA"/>
    <w:rsid w:val="00EA1F6C"/>
    <w:rsid w:val="00EA203A"/>
    <w:rsid w:val="00EA243B"/>
    <w:rsid w:val="00EA2ABD"/>
    <w:rsid w:val="00EA3817"/>
    <w:rsid w:val="00EA441E"/>
    <w:rsid w:val="00EA4D41"/>
    <w:rsid w:val="00EA4E32"/>
    <w:rsid w:val="00EA532E"/>
    <w:rsid w:val="00EA53B7"/>
    <w:rsid w:val="00EA5709"/>
    <w:rsid w:val="00EA58AC"/>
    <w:rsid w:val="00EA6A3C"/>
    <w:rsid w:val="00EA7B3F"/>
    <w:rsid w:val="00EA7D4F"/>
    <w:rsid w:val="00EB0AF6"/>
    <w:rsid w:val="00EB0E82"/>
    <w:rsid w:val="00EB16D1"/>
    <w:rsid w:val="00EB242B"/>
    <w:rsid w:val="00EB2773"/>
    <w:rsid w:val="00EB2D4C"/>
    <w:rsid w:val="00EB3255"/>
    <w:rsid w:val="00EB37CA"/>
    <w:rsid w:val="00EB4562"/>
    <w:rsid w:val="00EB46FE"/>
    <w:rsid w:val="00EB479D"/>
    <w:rsid w:val="00EB4819"/>
    <w:rsid w:val="00EB5147"/>
    <w:rsid w:val="00EB6DBA"/>
    <w:rsid w:val="00EB6FE7"/>
    <w:rsid w:val="00EB7495"/>
    <w:rsid w:val="00EC030A"/>
    <w:rsid w:val="00EC05DC"/>
    <w:rsid w:val="00EC0E1B"/>
    <w:rsid w:val="00EC24B5"/>
    <w:rsid w:val="00EC2A02"/>
    <w:rsid w:val="00EC3655"/>
    <w:rsid w:val="00EC3B72"/>
    <w:rsid w:val="00EC40B4"/>
    <w:rsid w:val="00EC4B66"/>
    <w:rsid w:val="00EC5900"/>
    <w:rsid w:val="00EC5F88"/>
    <w:rsid w:val="00EC67E0"/>
    <w:rsid w:val="00EC6BFF"/>
    <w:rsid w:val="00EC7237"/>
    <w:rsid w:val="00ED0C8F"/>
    <w:rsid w:val="00ED0E39"/>
    <w:rsid w:val="00ED1254"/>
    <w:rsid w:val="00ED1542"/>
    <w:rsid w:val="00ED28B5"/>
    <w:rsid w:val="00ED2E1C"/>
    <w:rsid w:val="00ED351D"/>
    <w:rsid w:val="00ED358F"/>
    <w:rsid w:val="00ED36E7"/>
    <w:rsid w:val="00ED379A"/>
    <w:rsid w:val="00ED3A2B"/>
    <w:rsid w:val="00ED3D2D"/>
    <w:rsid w:val="00ED489A"/>
    <w:rsid w:val="00ED5495"/>
    <w:rsid w:val="00ED5839"/>
    <w:rsid w:val="00ED5973"/>
    <w:rsid w:val="00ED7066"/>
    <w:rsid w:val="00ED71AB"/>
    <w:rsid w:val="00ED7540"/>
    <w:rsid w:val="00ED7652"/>
    <w:rsid w:val="00ED78F3"/>
    <w:rsid w:val="00EE0141"/>
    <w:rsid w:val="00EE01AD"/>
    <w:rsid w:val="00EE05E8"/>
    <w:rsid w:val="00EE0C6B"/>
    <w:rsid w:val="00EE1C62"/>
    <w:rsid w:val="00EE1EBF"/>
    <w:rsid w:val="00EE2292"/>
    <w:rsid w:val="00EE2D33"/>
    <w:rsid w:val="00EE2E77"/>
    <w:rsid w:val="00EE2EE9"/>
    <w:rsid w:val="00EE358F"/>
    <w:rsid w:val="00EE383F"/>
    <w:rsid w:val="00EE3A2A"/>
    <w:rsid w:val="00EE3AA8"/>
    <w:rsid w:val="00EE3DD4"/>
    <w:rsid w:val="00EE47D6"/>
    <w:rsid w:val="00EE4D91"/>
    <w:rsid w:val="00EE4E91"/>
    <w:rsid w:val="00EE650E"/>
    <w:rsid w:val="00EF07EC"/>
    <w:rsid w:val="00EF0BBB"/>
    <w:rsid w:val="00EF0CA4"/>
    <w:rsid w:val="00EF0FD3"/>
    <w:rsid w:val="00EF1B54"/>
    <w:rsid w:val="00EF227A"/>
    <w:rsid w:val="00EF2623"/>
    <w:rsid w:val="00EF2D56"/>
    <w:rsid w:val="00EF300D"/>
    <w:rsid w:val="00EF364A"/>
    <w:rsid w:val="00EF3851"/>
    <w:rsid w:val="00EF38BF"/>
    <w:rsid w:val="00EF38F9"/>
    <w:rsid w:val="00EF398F"/>
    <w:rsid w:val="00EF3DD9"/>
    <w:rsid w:val="00EF4219"/>
    <w:rsid w:val="00EF4B31"/>
    <w:rsid w:val="00EF52F3"/>
    <w:rsid w:val="00EF7D2F"/>
    <w:rsid w:val="00F00219"/>
    <w:rsid w:val="00F00DA5"/>
    <w:rsid w:val="00F02459"/>
    <w:rsid w:val="00F02DF2"/>
    <w:rsid w:val="00F02FCD"/>
    <w:rsid w:val="00F03038"/>
    <w:rsid w:val="00F03041"/>
    <w:rsid w:val="00F0336E"/>
    <w:rsid w:val="00F0346A"/>
    <w:rsid w:val="00F0403B"/>
    <w:rsid w:val="00F04308"/>
    <w:rsid w:val="00F04767"/>
    <w:rsid w:val="00F048AF"/>
    <w:rsid w:val="00F04999"/>
    <w:rsid w:val="00F04AC7"/>
    <w:rsid w:val="00F058F5"/>
    <w:rsid w:val="00F05FD1"/>
    <w:rsid w:val="00F06262"/>
    <w:rsid w:val="00F066D6"/>
    <w:rsid w:val="00F06B30"/>
    <w:rsid w:val="00F07667"/>
    <w:rsid w:val="00F079ED"/>
    <w:rsid w:val="00F07A1B"/>
    <w:rsid w:val="00F07EF5"/>
    <w:rsid w:val="00F10339"/>
    <w:rsid w:val="00F10553"/>
    <w:rsid w:val="00F1105C"/>
    <w:rsid w:val="00F11121"/>
    <w:rsid w:val="00F118C0"/>
    <w:rsid w:val="00F11FD0"/>
    <w:rsid w:val="00F12226"/>
    <w:rsid w:val="00F123FB"/>
    <w:rsid w:val="00F1277E"/>
    <w:rsid w:val="00F13026"/>
    <w:rsid w:val="00F13776"/>
    <w:rsid w:val="00F13E13"/>
    <w:rsid w:val="00F1437A"/>
    <w:rsid w:val="00F148BD"/>
    <w:rsid w:val="00F14ABC"/>
    <w:rsid w:val="00F1532D"/>
    <w:rsid w:val="00F16392"/>
    <w:rsid w:val="00F16750"/>
    <w:rsid w:val="00F16BC3"/>
    <w:rsid w:val="00F16C6D"/>
    <w:rsid w:val="00F1713F"/>
    <w:rsid w:val="00F175A8"/>
    <w:rsid w:val="00F17E6B"/>
    <w:rsid w:val="00F200F8"/>
    <w:rsid w:val="00F20EB8"/>
    <w:rsid w:val="00F2125C"/>
    <w:rsid w:val="00F214E1"/>
    <w:rsid w:val="00F2182D"/>
    <w:rsid w:val="00F21911"/>
    <w:rsid w:val="00F226F2"/>
    <w:rsid w:val="00F23355"/>
    <w:rsid w:val="00F2347B"/>
    <w:rsid w:val="00F23841"/>
    <w:rsid w:val="00F2535A"/>
    <w:rsid w:val="00F25FA5"/>
    <w:rsid w:val="00F261C2"/>
    <w:rsid w:val="00F266DA"/>
    <w:rsid w:val="00F26DB4"/>
    <w:rsid w:val="00F2709E"/>
    <w:rsid w:val="00F27899"/>
    <w:rsid w:val="00F27934"/>
    <w:rsid w:val="00F27AAE"/>
    <w:rsid w:val="00F27B41"/>
    <w:rsid w:val="00F27D4F"/>
    <w:rsid w:val="00F300BE"/>
    <w:rsid w:val="00F30389"/>
    <w:rsid w:val="00F310F9"/>
    <w:rsid w:val="00F31766"/>
    <w:rsid w:val="00F31B7C"/>
    <w:rsid w:val="00F3236B"/>
    <w:rsid w:val="00F325C9"/>
    <w:rsid w:val="00F326D7"/>
    <w:rsid w:val="00F3304D"/>
    <w:rsid w:val="00F333AD"/>
    <w:rsid w:val="00F33BBC"/>
    <w:rsid w:val="00F33C36"/>
    <w:rsid w:val="00F3440C"/>
    <w:rsid w:val="00F35CEB"/>
    <w:rsid w:val="00F3624F"/>
    <w:rsid w:val="00F36CD3"/>
    <w:rsid w:val="00F379FC"/>
    <w:rsid w:val="00F37EC5"/>
    <w:rsid w:val="00F40D91"/>
    <w:rsid w:val="00F41093"/>
    <w:rsid w:val="00F41141"/>
    <w:rsid w:val="00F41529"/>
    <w:rsid w:val="00F417A1"/>
    <w:rsid w:val="00F420C5"/>
    <w:rsid w:val="00F42BAE"/>
    <w:rsid w:val="00F42C07"/>
    <w:rsid w:val="00F441C3"/>
    <w:rsid w:val="00F441CB"/>
    <w:rsid w:val="00F44353"/>
    <w:rsid w:val="00F46497"/>
    <w:rsid w:val="00F464EF"/>
    <w:rsid w:val="00F46C90"/>
    <w:rsid w:val="00F47468"/>
    <w:rsid w:val="00F47AE9"/>
    <w:rsid w:val="00F47B4D"/>
    <w:rsid w:val="00F5078D"/>
    <w:rsid w:val="00F50A86"/>
    <w:rsid w:val="00F50D62"/>
    <w:rsid w:val="00F50F78"/>
    <w:rsid w:val="00F51718"/>
    <w:rsid w:val="00F51910"/>
    <w:rsid w:val="00F51B91"/>
    <w:rsid w:val="00F523E3"/>
    <w:rsid w:val="00F5293B"/>
    <w:rsid w:val="00F52AC3"/>
    <w:rsid w:val="00F52CB3"/>
    <w:rsid w:val="00F52CB7"/>
    <w:rsid w:val="00F52E61"/>
    <w:rsid w:val="00F534B5"/>
    <w:rsid w:val="00F536FB"/>
    <w:rsid w:val="00F54EDA"/>
    <w:rsid w:val="00F54FFD"/>
    <w:rsid w:val="00F55533"/>
    <w:rsid w:val="00F55C32"/>
    <w:rsid w:val="00F55FF8"/>
    <w:rsid w:val="00F56C4D"/>
    <w:rsid w:val="00F56E1B"/>
    <w:rsid w:val="00F570E1"/>
    <w:rsid w:val="00F57CE8"/>
    <w:rsid w:val="00F605D9"/>
    <w:rsid w:val="00F60DE4"/>
    <w:rsid w:val="00F62AD0"/>
    <w:rsid w:val="00F62B85"/>
    <w:rsid w:val="00F63479"/>
    <w:rsid w:val="00F637D6"/>
    <w:rsid w:val="00F63B3B"/>
    <w:rsid w:val="00F65202"/>
    <w:rsid w:val="00F661BF"/>
    <w:rsid w:val="00F665E1"/>
    <w:rsid w:val="00F666A2"/>
    <w:rsid w:val="00F66BB5"/>
    <w:rsid w:val="00F66CFA"/>
    <w:rsid w:val="00F66F9A"/>
    <w:rsid w:val="00F6760D"/>
    <w:rsid w:val="00F709EE"/>
    <w:rsid w:val="00F70ACB"/>
    <w:rsid w:val="00F7108E"/>
    <w:rsid w:val="00F72170"/>
    <w:rsid w:val="00F72273"/>
    <w:rsid w:val="00F72EC5"/>
    <w:rsid w:val="00F735FE"/>
    <w:rsid w:val="00F736E2"/>
    <w:rsid w:val="00F74549"/>
    <w:rsid w:val="00F748FF"/>
    <w:rsid w:val="00F749B7"/>
    <w:rsid w:val="00F74D8A"/>
    <w:rsid w:val="00F75AEC"/>
    <w:rsid w:val="00F761F0"/>
    <w:rsid w:val="00F7620B"/>
    <w:rsid w:val="00F76589"/>
    <w:rsid w:val="00F76991"/>
    <w:rsid w:val="00F770B9"/>
    <w:rsid w:val="00F7714B"/>
    <w:rsid w:val="00F77369"/>
    <w:rsid w:val="00F773D3"/>
    <w:rsid w:val="00F77A1B"/>
    <w:rsid w:val="00F77FE3"/>
    <w:rsid w:val="00F80109"/>
    <w:rsid w:val="00F801CC"/>
    <w:rsid w:val="00F80B76"/>
    <w:rsid w:val="00F80CCD"/>
    <w:rsid w:val="00F80F8B"/>
    <w:rsid w:val="00F81A60"/>
    <w:rsid w:val="00F82166"/>
    <w:rsid w:val="00F82C18"/>
    <w:rsid w:val="00F83007"/>
    <w:rsid w:val="00F836B7"/>
    <w:rsid w:val="00F843E7"/>
    <w:rsid w:val="00F846C5"/>
    <w:rsid w:val="00F848FF"/>
    <w:rsid w:val="00F84960"/>
    <w:rsid w:val="00F84C45"/>
    <w:rsid w:val="00F84DE8"/>
    <w:rsid w:val="00F84E29"/>
    <w:rsid w:val="00F85BEA"/>
    <w:rsid w:val="00F8656A"/>
    <w:rsid w:val="00F86E59"/>
    <w:rsid w:val="00F87056"/>
    <w:rsid w:val="00F876E3"/>
    <w:rsid w:val="00F877FC"/>
    <w:rsid w:val="00F87875"/>
    <w:rsid w:val="00F878E3"/>
    <w:rsid w:val="00F879BF"/>
    <w:rsid w:val="00F9026D"/>
    <w:rsid w:val="00F907C5"/>
    <w:rsid w:val="00F9094C"/>
    <w:rsid w:val="00F90A20"/>
    <w:rsid w:val="00F90E1D"/>
    <w:rsid w:val="00F91792"/>
    <w:rsid w:val="00F91E88"/>
    <w:rsid w:val="00F92C29"/>
    <w:rsid w:val="00F92F93"/>
    <w:rsid w:val="00F93319"/>
    <w:rsid w:val="00F9344D"/>
    <w:rsid w:val="00F93573"/>
    <w:rsid w:val="00F93993"/>
    <w:rsid w:val="00F9399D"/>
    <w:rsid w:val="00F940BE"/>
    <w:rsid w:val="00F9463A"/>
    <w:rsid w:val="00F96D14"/>
    <w:rsid w:val="00F96D89"/>
    <w:rsid w:val="00FA0A2B"/>
    <w:rsid w:val="00FA0E4C"/>
    <w:rsid w:val="00FA1781"/>
    <w:rsid w:val="00FA1D00"/>
    <w:rsid w:val="00FA1F15"/>
    <w:rsid w:val="00FA257D"/>
    <w:rsid w:val="00FA294E"/>
    <w:rsid w:val="00FA2B2A"/>
    <w:rsid w:val="00FA2CB6"/>
    <w:rsid w:val="00FA39DC"/>
    <w:rsid w:val="00FA4048"/>
    <w:rsid w:val="00FA4398"/>
    <w:rsid w:val="00FA57D5"/>
    <w:rsid w:val="00FA5BDA"/>
    <w:rsid w:val="00FA5BFC"/>
    <w:rsid w:val="00FA5E4A"/>
    <w:rsid w:val="00FA5E92"/>
    <w:rsid w:val="00FA6E45"/>
    <w:rsid w:val="00FA760D"/>
    <w:rsid w:val="00FB193C"/>
    <w:rsid w:val="00FB1B67"/>
    <w:rsid w:val="00FB1F9E"/>
    <w:rsid w:val="00FB2B76"/>
    <w:rsid w:val="00FB2C1F"/>
    <w:rsid w:val="00FB2E97"/>
    <w:rsid w:val="00FB2FDC"/>
    <w:rsid w:val="00FB3004"/>
    <w:rsid w:val="00FB304A"/>
    <w:rsid w:val="00FB30C0"/>
    <w:rsid w:val="00FB322E"/>
    <w:rsid w:val="00FB3B12"/>
    <w:rsid w:val="00FB4001"/>
    <w:rsid w:val="00FB421D"/>
    <w:rsid w:val="00FB4514"/>
    <w:rsid w:val="00FB4C6E"/>
    <w:rsid w:val="00FB529A"/>
    <w:rsid w:val="00FB5381"/>
    <w:rsid w:val="00FB5BF0"/>
    <w:rsid w:val="00FB5F79"/>
    <w:rsid w:val="00FB6498"/>
    <w:rsid w:val="00FB6590"/>
    <w:rsid w:val="00FB6958"/>
    <w:rsid w:val="00FB6AAE"/>
    <w:rsid w:val="00FB6D44"/>
    <w:rsid w:val="00FC04A5"/>
    <w:rsid w:val="00FC066A"/>
    <w:rsid w:val="00FC0CBA"/>
    <w:rsid w:val="00FC0CE3"/>
    <w:rsid w:val="00FC0D0F"/>
    <w:rsid w:val="00FC1680"/>
    <w:rsid w:val="00FC25F5"/>
    <w:rsid w:val="00FC2DB2"/>
    <w:rsid w:val="00FC2EAC"/>
    <w:rsid w:val="00FC44C8"/>
    <w:rsid w:val="00FC47B9"/>
    <w:rsid w:val="00FC4CEB"/>
    <w:rsid w:val="00FC5961"/>
    <w:rsid w:val="00FC5991"/>
    <w:rsid w:val="00FC602B"/>
    <w:rsid w:val="00FC7191"/>
    <w:rsid w:val="00FC7713"/>
    <w:rsid w:val="00FC7A82"/>
    <w:rsid w:val="00FD014B"/>
    <w:rsid w:val="00FD02BF"/>
    <w:rsid w:val="00FD0418"/>
    <w:rsid w:val="00FD0518"/>
    <w:rsid w:val="00FD096B"/>
    <w:rsid w:val="00FD123F"/>
    <w:rsid w:val="00FD1BE7"/>
    <w:rsid w:val="00FD1C35"/>
    <w:rsid w:val="00FD1DEE"/>
    <w:rsid w:val="00FD1E7D"/>
    <w:rsid w:val="00FD385D"/>
    <w:rsid w:val="00FD39A3"/>
    <w:rsid w:val="00FD3BE9"/>
    <w:rsid w:val="00FD41DF"/>
    <w:rsid w:val="00FD4235"/>
    <w:rsid w:val="00FD626D"/>
    <w:rsid w:val="00FD6657"/>
    <w:rsid w:val="00FD707F"/>
    <w:rsid w:val="00FD765B"/>
    <w:rsid w:val="00FD78DC"/>
    <w:rsid w:val="00FD7903"/>
    <w:rsid w:val="00FD7A1E"/>
    <w:rsid w:val="00FD7FE1"/>
    <w:rsid w:val="00FE0207"/>
    <w:rsid w:val="00FE0DC6"/>
    <w:rsid w:val="00FE10C5"/>
    <w:rsid w:val="00FE18EF"/>
    <w:rsid w:val="00FE1CCD"/>
    <w:rsid w:val="00FE2056"/>
    <w:rsid w:val="00FE2E32"/>
    <w:rsid w:val="00FE3298"/>
    <w:rsid w:val="00FE367B"/>
    <w:rsid w:val="00FE3698"/>
    <w:rsid w:val="00FE4201"/>
    <w:rsid w:val="00FE4A13"/>
    <w:rsid w:val="00FE5394"/>
    <w:rsid w:val="00FE5A0D"/>
    <w:rsid w:val="00FE63A1"/>
    <w:rsid w:val="00FE6F0A"/>
    <w:rsid w:val="00FE7C45"/>
    <w:rsid w:val="00FF00D1"/>
    <w:rsid w:val="00FF14AB"/>
    <w:rsid w:val="00FF1BB0"/>
    <w:rsid w:val="00FF1D9C"/>
    <w:rsid w:val="00FF24CF"/>
    <w:rsid w:val="00FF25FF"/>
    <w:rsid w:val="00FF3832"/>
    <w:rsid w:val="00FF399D"/>
    <w:rsid w:val="00FF3AEE"/>
    <w:rsid w:val="00FF3CB5"/>
    <w:rsid w:val="00FF401C"/>
    <w:rsid w:val="00FF45E8"/>
    <w:rsid w:val="00FF4B98"/>
    <w:rsid w:val="00FF503B"/>
    <w:rsid w:val="00FF5E20"/>
    <w:rsid w:val="00FF5E5E"/>
    <w:rsid w:val="00FF6FD5"/>
    <w:rsid w:val="00FF7351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tigh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E00F74B"/>
  <w15:docId w15:val="{11B74592-303D-4086-9C65-D38BCAD3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298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F3A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2">
    <w:name w:val="Body Text 2"/>
    <w:basedOn w:val="Normalny"/>
    <w:link w:val="Tekstpodstawowy2Znak"/>
    <w:rPr>
      <w:rFonts w:ascii="Arial" w:hAnsi="Arial"/>
      <w:b/>
      <w:i/>
    </w:rPr>
  </w:style>
  <w:style w:type="paragraph" w:styleId="Nagwek">
    <w:name w:val="header"/>
    <w:basedOn w:val="Normalny"/>
    <w:rsid w:val="009B3E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B3E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53852"/>
  </w:style>
  <w:style w:type="table" w:styleId="Tabela-Siatka">
    <w:name w:val="Table Grid"/>
    <w:basedOn w:val="Standardowy"/>
    <w:rsid w:val="0007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055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3319"/>
    <w:pPr>
      <w:ind w:left="708"/>
    </w:pPr>
  </w:style>
  <w:style w:type="paragraph" w:styleId="Tekstprzypisukocowego">
    <w:name w:val="endnote text"/>
    <w:basedOn w:val="Normalny"/>
    <w:semiHidden/>
    <w:rsid w:val="00F9026D"/>
  </w:style>
  <w:style w:type="character" w:styleId="Odwoanieprzypisukocowego">
    <w:name w:val="endnote reference"/>
    <w:semiHidden/>
    <w:rsid w:val="00F9026D"/>
    <w:rPr>
      <w:vertAlign w:val="superscript"/>
    </w:rPr>
  </w:style>
  <w:style w:type="paragraph" w:styleId="Listapunktowana">
    <w:name w:val="List Bullet"/>
    <w:basedOn w:val="Normalny"/>
    <w:rsid w:val="005A001C"/>
    <w:pPr>
      <w:numPr>
        <w:numId w:val="9"/>
      </w:numPr>
    </w:pPr>
  </w:style>
  <w:style w:type="character" w:styleId="Odwoaniedokomentarza">
    <w:name w:val="annotation reference"/>
    <w:rsid w:val="003075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07536"/>
  </w:style>
  <w:style w:type="character" w:customStyle="1" w:styleId="TekstkomentarzaZnak">
    <w:name w:val="Tekst komentarza Znak"/>
    <w:basedOn w:val="Domylnaczcionkaakapitu"/>
    <w:link w:val="Tekstkomentarza"/>
    <w:rsid w:val="00307536"/>
  </w:style>
  <w:style w:type="paragraph" w:styleId="Tematkomentarza">
    <w:name w:val="annotation subject"/>
    <w:basedOn w:val="Tekstkomentarza"/>
    <w:next w:val="Tekstkomentarza"/>
    <w:link w:val="TematkomentarzaZnak"/>
    <w:rsid w:val="00307536"/>
    <w:rPr>
      <w:b/>
      <w:bCs/>
    </w:rPr>
  </w:style>
  <w:style w:type="character" w:customStyle="1" w:styleId="TematkomentarzaZnak">
    <w:name w:val="Temat komentarza Znak"/>
    <w:link w:val="Tematkomentarza"/>
    <w:rsid w:val="00307536"/>
    <w:rPr>
      <w:b/>
      <w:bCs/>
    </w:rPr>
  </w:style>
  <w:style w:type="character" w:customStyle="1" w:styleId="Tekstpodstawowy2Znak">
    <w:name w:val="Tekst podstawowy 2 Znak"/>
    <w:link w:val="Tekstpodstawowy2"/>
    <w:rsid w:val="00A179B1"/>
    <w:rPr>
      <w:rFonts w:ascii="Arial" w:hAnsi="Arial"/>
      <w:b/>
      <w:i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1A63"/>
  </w:style>
  <w:style w:type="character" w:customStyle="1" w:styleId="Nagwek3Znak">
    <w:name w:val="Nagłówek 3 Znak"/>
    <w:basedOn w:val="Domylnaczcionkaakapitu"/>
    <w:link w:val="Nagwek3"/>
    <w:semiHidden/>
    <w:rsid w:val="00DF3A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6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7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erwer\home\aleksandram\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erwer\home\aleksandram\wykres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Bookman Old Style"/>
                <a:ea typeface="Bookman Old Style"/>
                <a:cs typeface="Bookman Old Style"/>
              </a:defRPr>
            </a:pPr>
            <a:r>
              <a:rPr lang="pl-PL"/>
              <a:t>Dynamika dochodów własnych (w mln zł) w 
latach 2022-2025</a:t>
            </a:r>
          </a:p>
        </c:rich>
      </c:tx>
      <c:layout>
        <c:manualLayout>
          <c:xMode val="edge"/>
          <c:yMode val="edge"/>
          <c:x val="0.28338762214983715"/>
          <c:y val="2.1739130434782608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517915309446255E-2"/>
          <c:y val="0.45652173913043476"/>
          <c:w val="0.92182410423452765"/>
          <c:h val="0.28260869565217389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FFFF00" mc:Ignorable="a14" a14:legacySpreadsheetColorIndex="13"/>
                  </a:gs>
                  <a:gs pos="100000">
                    <a:srgbClr xmlns:mc="http://schemas.openxmlformats.org/markup-compatibility/2006" xmlns:a14="http://schemas.microsoft.com/office/drawing/2010/main" val="FFCC00" mc:Ignorable="a14" a14:legacySpreadsheetColorIndex="51"/>
                  </a:gs>
                </a:gsLst>
                <a:lin ang="5400000" scaled="1"/>
              </a:gra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3406487869798189E-3"/>
                  <c:y val="-6.0851059892484072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EE-44A2-AA37-1F746F695627}"/>
                </c:ext>
              </c:extLst>
            </c:dLbl>
            <c:dLbl>
              <c:idx val="1"/>
              <c:layout>
                <c:manualLayout>
                  <c:x val="7.2315410899370658E-3"/>
                  <c:y val="-5.8224321548525582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EE-44A2-AA37-1F746F695627}"/>
                </c:ext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360</c:v>
                </c:pt>
                <c:pt idx="1">
                  <c:v>374</c:v>
                </c:pt>
                <c:pt idx="2">
                  <c:v>480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EE-44A2-AA37-1F746F695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778488"/>
        <c:axId val="1"/>
      </c:lineChart>
      <c:catAx>
        <c:axId val="254778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54778488"/>
        <c:crosses val="autoZero"/>
        <c:crossBetween val="between"/>
        <c:majorUnit val="100"/>
      </c:valAx>
      <c:spPr>
        <a:noFill/>
        <a:ln w="25399">
          <a:noFill/>
        </a:ln>
      </c:spPr>
    </c:plotArea>
    <c:plotVisOnly val="1"/>
    <c:dispBlanksAs val="zero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  <a:extLst>
        <a:ext uri="{C807C97D-BFC1-408E-A445-0C87EB9F89A2}">
          <ask:lineSketchStyleProps xmlns:ask="http://schemas.microsoft.com/office/drawing/2018/sketchyshapes" sd="0">
            <a:custGeom>
              <a:avLst/>
              <a:gdLst/>
              <a:ahLst/>
              <a:cxnLst/>
              <a:rect l="0" t="0" r="0" b="0"/>
              <a:pathLst/>
            </a:custGeom>
            <ask:type/>
          </ask:lineSketchStyleProps>
        </a:ext>
      </a:extLst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Procentowa struktura wykonanych wydatków</a:t>
            </a:r>
            <a:endParaRPr lang="pl-PL" sz="1400" b="1" i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pl-PL" sz="1400" b="1" i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w ujęciu działowym klasyfikacji budżetowej</a:t>
            </a:r>
            <a:endParaRPr lang="pl-PL" sz="1400" b="1" i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440375847328031"/>
          <c:y val="1.93332027631220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3028725420017685"/>
          <c:y val="0.20847116471621638"/>
          <c:w val="0.31170435246396339"/>
          <c:h val="0.58288713910761158"/>
        </c:manualLayout>
      </c:layout>
      <c:pie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69-4A36-925C-A2E57F8020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69-4A36-925C-A2E57F8020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69-4A36-925C-A2E57F8020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69-4A36-925C-A2E57F80201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D69-4A36-925C-A2E57F80201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D69-4A36-925C-A2E57F802016}"/>
              </c:ext>
            </c:extLst>
          </c:dPt>
          <c:dPt>
            <c:idx val="6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D69-4A36-925C-A2E57F80201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D69-4A36-925C-A2E57F802016}"/>
              </c:ext>
            </c:extLst>
          </c:dPt>
          <c:dPt>
            <c:idx val="8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D69-4A36-925C-A2E57F802016}"/>
              </c:ext>
            </c:extLst>
          </c:dPt>
          <c:dLbls>
            <c:dLbl>
              <c:idx val="0"/>
              <c:layout>
                <c:manualLayout>
                  <c:x val="6.7052484163861144E-3"/>
                  <c:y val="2.947700669249139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69-4A36-925C-A2E57F802016}"/>
                </c:ext>
              </c:extLst>
            </c:dLbl>
            <c:dLbl>
              <c:idx val="2"/>
              <c:layout>
                <c:manualLayout>
                  <c:x val="1.2342788006517772E-3"/>
                  <c:y val="3.18260217472815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69-4A36-925C-A2E57F802016}"/>
                </c:ext>
              </c:extLst>
            </c:dLbl>
            <c:dLbl>
              <c:idx val="3"/>
              <c:layout>
                <c:manualLayout>
                  <c:x val="-8.019346521614127E-3"/>
                  <c:y val="-2.01237224768125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D69-4A36-925C-A2E57F802016}"/>
                </c:ext>
              </c:extLst>
            </c:dLbl>
            <c:dLbl>
              <c:idx val="4"/>
              <c:layout>
                <c:manualLayout>
                  <c:x val="-2.8174438232395717E-2"/>
                  <c:y val="-5.94467358246885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D69-4A36-925C-A2E57F802016}"/>
                </c:ext>
              </c:extLst>
            </c:dLbl>
            <c:dLbl>
              <c:idx val="5"/>
              <c:layout>
                <c:manualLayout>
                  <c:x val="4.6630370088497301E-3"/>
                  <c:y val="6.467524892721743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D69-4A36-925C-A2E57F8020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Arkusz4!$C$2:$K$2</c:f>
              <c:strCache>
                <c:ptCount val="9"/>
                <c:pt idx="0">
                  <c:v>transport</c:v>
                </c:pt>
                <c:pt idx="1">
                  <c:v>g.mieszkaniowa</c:v>
                </c:pt>
                <c:pt idx="2">
                  <c:v>g.komunalna</c:v>
                </c:pt>
                <c:pt idx="3">
                  <c:v>administracja</c:v>
                </c:pt>
                <c:pt idx="4">
                  <c:v>oświata</c:v>
                </c:pt>
                <c:pt idx="5">
                  <c:v>zdrowie i opieka społeczna</c:v>
                </c:pt>
                <c:pt idx="6">
                  <c:v>sport i turystyka</c:v>
                </c:pt>
                <c:pt idx="7">
                  <c:v>kultura</c:v>
                </c:pt>
                <c:pt idx="8">
                  <c:v>pozostałe</c:v>
                </c:pt>
              </c:strCache>
            </c:strRef>
          </c:cat>
          <c:val>
            <c:numRef>
              <c:f>Arkusz4!$C$3:$K$3</c:f>
              <c:numCache>
                <c:formatCode>General</c:formatCode>
                <c:ptCount val="9"/>
                <c:pt idx="0">
                  <c:v>8</c:v>
                </c:pt>
                <c:pt idx="1">
                  <c:v>6.24</c:v>
                </c:pt>
                <c:pt idx="2">
                  <c:v>15.71</c:v>
                </c:pt>
                <c:pt idx="3">
                  <c:v>9.4600000000000009</c:v>
                </c:pt>
                <c:pt idx="4">
                  <c:v>26.92</c:v>
                </c:pt>
                <c:pt idx="5">
                  <c:v>16.53</c:v>
                </c:pt>
                <c:pt idx="6">
                  <c:v>4.07</c:v>
                </c:pt>
                <c:pt idx="7">
                  <c:v>4.07</c:v>
                </c:pt>
                <c:pt idx="8">
                  <c:v>9.02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D69-4A36-925C-A2E57F80201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 b="1">
                <a:latin typeface="Times New Roman" panose="02020603050405020304" pitchFamily="18" charset="0"/>
                <a:cs typeface="Times New Roman" panose="02020603050405020304" pitchFamily="18" charset="0"/>
              </a:rPr>
              <a:t>źródła finansowania wydatków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Arkusz5!$B$2</c:f>
              <c:strCache>
                <c:ptCount val="1"/>
                <c:pt idx="0">
                  <c:v>subwencje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57150"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Arkusz5!$B$3</c:f>
              <c:numCache>
                <c:formatCode>General</c:formatCode>
                <c:ptCount val="1"/>
                <c:pt idx="0">
                  <c:v>1.99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19-4E94-9B78-3E8454F06D19}"/>
            </c:ext>
          </c:extLst>
        </c:ser>
        <c:ser>
          <c:idx val="1"/>
          <c:order val="1"/>
          <c:tx>
            <c:strRef>
              <c:f>Arkusz5!$C$2</c:f>
              <c:strCache>
                <c:ptCount val="1"/>
                <c:pt idx="0">
                  <c:v>dotacje celowe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rgbClr val="FFFF00"/>
              </a:solidFill>
            </a:ln>
            <a:effectLst/>
            <a:sp3d>
              <a:contourClr>
                <a:srgbClr val="FFFF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Arkusz5!$C$3</c:f>
              <c:numCache>
                <c:formatCode>General</c:formatCode>
                <c:ptCount val="1"/>
                <c:pt idx="0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19-4E94-9B78-3E8454F06D19}"/>
            </c:ext>
          </c:extLst>
        </c:ser>
        <c:ser>
          <c:idx val="2"/>
          <c:order val="2"/>
          <c:tx>
            <c:strRef>
              <c:f>Arkusz5!$D$2</c:f>
              <c:strCache>
                <c:ptCount val="1"/>
                <c:pt idx="0">
                  <c:v>środki z budżetu UE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Arkusz5!$D$3</c:f>
              <c:numCache>
                <c:formatCode>General</c:formatCode>
                <c:ptCount val="1"/>
                <c:pt idx="0">
                  <c:v>1.0900000000000001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19-4E94-9B78-3E8454F06D19}"/>
            </c:ext>
          </c:extLst>
        </c:ser>
        <c:ser>
          <c:idx val="3"/>
          <c:order val="3"/>
          <c:tx>
            <c:strRef>
              <c:f>Arkusz5!$E$2</c:f>
              <c:strCache>
                <c:ptCount val="1"/>
                <c:pt idx="0">
                  <c:v>środki własne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Arkusz5!$E$3</c:f>
              <c:numCache>
                <c:formatCode>General</c:formatCode>
                <c:ptCount val="1"/>
                <c:pt idx="0">
                  <c:v>89.4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19-4E94-9B78-3E8454F06D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50055215"/>
        <c:axId val="1750056175"/>
        <c:axId val="1413403855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tx>
                  <c:strRef>
                    <c:extLst>
                      <c:ext uri="{02D57815-91ED-43cb-92C2-25804820EDAC}">
                        <c15:formulaRef>
                          <c15:sqref>Arkusz5!$F$2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Arkusz5!$F$3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B919-4E94-9B78-3E8454F06D19}"/>
                  </c:ext>
                </c:extLst>
              </c15:ser>
            </c15:filteredBarSeries>
          </c:ext>
        </c:extLst>
      </c:bar3DChart>
      <c:catAx>
        <c:axId val="175005521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50056175"/>
        <c:crosses val="autoZero"/>
        <c:auto val="1"/>
        <c:lblAlgn val="ctr"/>
        <c:lblOffset val="100"/>
        <c:noMultiLvlLbl val="0"/>
      </c:catAx>
      <c:valAx>
        <c:axId val="17500561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50055215"/>
        <c:crosses val="autoZero"/>
        <c:crossBetween val="between"/>
      </c:valAx>
      <c:serAx>
        <c:axId val="141340385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50056175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rnd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294264339152115E-2"/>
          <c:y val="0.140625"/>
          <c:w val="0.68578553615960103"/>
          <c:h val="0.7265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ustawowa granica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1"/>
          <c:dPt>
            <c:idx val="0"/>
            <c:invertIfNegative val="1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FF0000" mc:Ignorable="a14" a14:legacySpreadsheetColorIndex="10"/>
                  </a:gs>
                  <a:gs pos="100000">
                    <a:srgbClr xmlns:mc="http://schemas.openxmlformats.org/markup-compatibility/2006" xmlns:a14="http://schemas.microsoft.com/office/drawing/2010/main" val="FFFFFF" mc:Ignorable="a14" a14:legacySpreadsheetColorIndex="9"/>
                  </a:gs>
                </a:gsLst>
                <a:lin ang="5400000" scaled="1"/>
              </a:gra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0FA-4A21-9DB5-C0ED1C8E6E62}"/>
              </c:ext>
            </c:extLst>
          </c:dPt>
          <c:dLbls>
            <c:dLbl>
              <c:idx val="0"/>
              <c:layout>
                <c:manualLayout>
                  <c:x val="1.0686705986846724E-2"/>
                  <c:y val="4.4992879879376781E-3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FA-4A21-9DB5-C0ED1C8E6E62}"/>
                </c:ext>
              </c:extLst>
            </c:dLbl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 formatCode="0%">
                  <c:v>0.15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2-10FA-4A21-9DB5-C0ED1C8E6E6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spłata rat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339966" mc:Ignorable="a14" a14:legacySpreadsheetColorIndex="57"/>
                  </a:gs>
                  <a:gs pos="100000">
                    <a:srgbClr xmlns:mc="http://schemas.openxmlformats.org/markup-compatibility/2006" xmlns:a14="http://schemas.microsoft.com/office/drawing/2010/main" val="FFFFFF" mc:Ignorable="a14" a14:legacySpreadsheetColorIndex="9"/>
                  </a:gs>
                </a:gsLst>
                <a:lin ang="5400000" scaled="1"/>
              </a:gra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0FA-4A21-9DB5-C0ED1C8E6E62}"/>
              </c:ext>
            </c:extLst>
          </c:dPt>
          <c:dLbls>
            <c:dLbl>
              <c:idx val="0"/>
              <c:layout>
                <c:manualLayout>
                  <c:x val="1.101204554753845E-2"/>
                  <c:y val="-0.14043600268051606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 sz="800"/>
                      <a:t>3,88%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518477490693887E-2"/>
                      <c:h val="0.1171212724074384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10FA-4A21-9DB5-C0ED1C8E6E62}"/>
                </c:ext>
              </c:extLst>
            </c:dLbl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 formatCode="0.00%">
                  <c:v>3.8800000000000001E-2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FA-4A21-9DB5-C0ED1C8E6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716440"/>
        <c:axId val="1"/>
      </c:barChart>
      <c:catAx>
        <c:axId val="253716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53716440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9301745635910226"/>
          <c:y val="0.390625"/>
          <c:w val="0.1970074812967581"/>
          <c:h val="0.343916485173395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  <a:extLst>
        <a:ext uri="{C807C97D-BFC1-408E-A445-0C87EB9F89A2}">
          <ask:lineSketchStyleProps xmlns:ask="http://schemas.microsoft.com/office/drawing/2018/sketchyshapes" sd="0">
            <a:custGeom>
              <a:avLst/>
              <a:gdLst/>
              <a:ahLst/>
              <a:cxnLst/>
              <a:rect l="0" t="0" r="0" b="0"/>
              <a:pathLst/>
            </a:custGeom>
            <ask:type/>
          </ask:lineSketchStyleProps>
        </a:ext>
      </a:extLst>
    </a:ln>
  </c:spPr>
  <c:txPr>
    <a:bodyPr/>
    <a:lstStyle/>
    <a:p>
      <a:pPr>
        <a:defRPr sz="5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baseline="0"/>
              <a:t>Dochody z udziału w PIT (w mln zł) w 
latach 2022-2025</a:t>
            </a:r>
          </a:p>
        </c:rich>
      </c:tx>
      <c:layout>
        <c:manualLayout>
          <c:xMode val="edge"/>
          <c:yMode val="edge"/>
          <c:x val="0.13187644463122505"/>
          <c:y val="9.69970303007898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4880045526319025"/>
          <c:y val="0.40624992298497897"/>
          <c:w val="0.83333333333333337"/>
          <c:h val="0.36875000000000002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Sheet1!$D$1:$G$1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Sheet1!$D$2:$G$2</c:f>
              <c:numCache>
                <c:formatCode>General</c:formatCode>
                <c:ptCount val="4"/>
                <c:pt idx="0">
                  <c:v>97.9</c:v>
                </c:pt>
                <c:pt idx="1">
                  <c:v>88.1</c:v>
                </c:pt>
                <c:pt idx="2">
                  <c:v>132.5</c:v>
                </c:pt>
                <c:pt idx="3">
                  <c:v>196.2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AB8-4E0F-8348-B141D5AD731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3558616"/>
        <c:axId val="1"/>
      </c:lineChart>
      <c:catAx>
        <c:axId val="253558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53558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/>
              <a:t>Dochody z udziału w CIT (w mln zł) w latach 2022-2025</a:t>
            </a:r>
          </a:p>
        </c:rich>
      </c:tx>
      <c:layout>
        <c:manualLayout>
          <c:xMode val="edge"/>
          <c:yMode val="edge"/>
          <c:x val="0.13634688704048628"/>
          <c:y val="3.7230326562814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'[Wykres w programie Microsoft Word]Sheet1'!$C$1:$F$1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'[Wykres w programie Microsoft Word]Sheet1'!$C$2:$F$2</c:f>
              <c:numCache>
                <c:formatCode>General</c:formatCode>
                <c:ptCount val="4"/>
                <c:pt idx="0" formatCode="0.0">
                  <c:v>13.5</c:v>
                </c:pt>
                <c:pt idx="1">
                  <c:v>24.6</c:v>
                </c:pt>
                <c:pt idx="2">
                  <c:v>30.2</c:v>
                </c:pt>
                <c:pt idx="3">
                  <c:v>48.6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7D-49C0-82E5-C4D9CAB90A8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57994303"/>
        <c:axId val="1457994719"/>
      </c:lineChart>
      <c:catAx>
        <c:axId val="1457994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57994719"/>
        <c:crosses val="autoZero"/>
        <c:auto val="1"/>
        <c:lblAlgn val="ctr"/>
        <c:lblOffset val="100"/>
        <c:noMultiLvlLbl val="0"/>
      </c:catAx>
      <c:valAx>
        <c:axId val="1457994719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457994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200"/>
              <a:t>wielkość potrzeb oświatowych a wydatki na wynagrodzenia  w oświacie</a:t>
            </a:r>
          </a:p>
        </c:rich>
      </c:tx>
      <c:layout>
        <c:manualLayout>
          <c:xMode val="edge"/>
          <c:yMode val="edge"/>
          <c:x val="0.15890405986485728"/>
          <c:y val="2.9595741873048001E-3"/>
        </c:manualLayout>
      </c:layout>
      <c:overlay val="0"/>
      <c:spPr>
        <a:noFill/>
        <a:ln w="25468">
          <a:noFill/>
        </a:ln>
      </c:spPr>
    </c:title>
    <c:autoTitleDeleted val="0"/>
    <c:view3D>
      <c:rotX val="15"/>
      <c:hPercent val="30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3150684931506855E-2"/>
          <c:y val="0.32142857142857145"/>
          <c:w val="0.8794520547945206"/>
          <c:h val="0.386904761904761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9999FF" mc:Ignorable="a14" a14:legacySpreadsheetColorIndex="24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9"/>
                </a:gs>
              </a:gsLst>
              <a:lin ang="5400000" scaled="1"/>
            </a:gradFill>
            <a:ln w="1273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184397163120567E-2"/>
                  <c:y val="-8.19366852886405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0D-4AB8-9D3F-949FB6B43AE7}"/>
                </c:ext>
              </c:extLst>
            </c:dLbl>
            <c:dLbl>
              <c:idx val="1"/>
              <c:layout>
                <c:manualLayout>
                  <c:x val="2.1276595744680851E-2"/>
                  <c:y val="-4.4692737430167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0D-4AB8-9D3F-949FB6B43A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Sheet1!$B$1:$C$1</c:f>
              <c:strCache>
                <c:ptCount val="2"/>
                <c:pt idx="0">
                  <c:v>ustalone potrzeby oświatowe</c:v>
                </c:pt>
                <c:pt idx="1">
                  <c:v>wydatki na wynagrodzenia i pochodne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87.7</c:v>
                </c:pt>
                <c:pt idx="1">
                  <c:v>101.7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5E-45BD-9F0E-CC406FB2EB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4049664"/>
        <c:axId val="1"/>
        <c:axId val="0"/>
      </c:bar3DChart>
      <c:catAx>
        <c:axId val="25404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54049664"/>
        <c:crosses val="autoZero"/>
        <c:crossBetween val="between"/>
      </c:valAx>
      <c:spPr>
        <a:noFill/>
        <a:ln w="25468">
          <a:noFill/>
        </a:ln>
      </c:spPr>
    </c:plotArea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  <a:extLst>
        <a:ext uri="{C807C97D-BFC1-408E-A445-0C87EB9F89A2}">
          <ask:lineSketchStyleProps xmlns:ask="http://schemas.microsoft.com/office/drawing/2018/sketchyshapes" sd="0">
            <a:custGeom>
              <a:avLst/>
              <a:gdLst/>
              <a:ahLst/>
              <a:cxnLst/>
              <a:rect l="0" t="0" r="0" b="0"/>
              <a:pathLst/>
            </a:custGeom>
            <ask:type/>
          </ask:lineSketchStyleProps>
        </a:ext>
      </a:extLst>
    </a:ln>
  </c:spPr>
  <c:txPr>
    <a:bodyPr/>
    <a:lstStyle/>
    <a:p>
      <a:pPr>
        <a:defRPr sz="80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r>
              <a:rPr lang="pl-PL" sz="1200" b="1" i="0" u="none" strike="noStrike" baseline="0">
                <a:effectLst/>
                <a:latin typeface="Bookman Old Style" panose="02050604050505020204" pitchFamily="18" charset="0"/>
              </a:rPr>
              <a:t>Struktura procentowa  dotacji celowych w 2025 </a:t>
            </a:r>
            <a:endParaRPr lang="pl-PL" sz="1200" b="1">
              <a:latin typeface="Bookman Old Style" panose="020506040505050202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ookman Old Style" panose="02050604050505020204" pitchFamily="18" charset="0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34834452549618583"/>
          <c:y val="0.24188207077563581"/>
          <c:w val="0.25425855212914439"/>
          <c:h val="0.65537333695357047"/>
        </c:manualLayout>
      </c:layout>
      <c:pieChart>
        <c:varyColors val="1"/>
        <c:ser>
          <c:idx val="0"/>
          <c:order val="0"/>
          <c:spPr>
            <a:ln w="76200"/>
          </c:spPr>
          <c:explosion val="11"/>
          <c:dPt>
            <c:idx val="0"/>
            <c:bubble3D val="0"/>
            <c:spPr>
              <a:solidFill>
                <a:srgbClr val="92D050"/>
              </a:solidFill>
              <a:ln w="762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E8-40A7-8A5D-9FC254B1DC2F}"/>
              </c:ext>
            </c:extLst>
          </c:dPt>
          <c:dPt>
            <c:idx val="1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 w="762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E8-40A7-8A5D-9FC254B1DC2F}"/>
              </c:ext>
            </c:extLst>
          </c:dPt>
          <c:dLbls>
            <c:dLbl>
              <c:idx val="0"/>
              <c:layout>
                <c:manualLayout>
                  <c:x val="4.3401715253820777E-2"/>
                  <c:y val="-3.6831387455878363E-2"/>
                </c:manualLayout>
              </c:layout>
              <c:tx>
                <c:rich>
                  <a:bodyPr/>
                  <a:lstStyle/>
                  <a:p>
                    <a:fld id="{A0D80BAC-3B68-49FA-8071-7EEFC3AA9CC1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; </a:t>
                    </a:r>
                    <a:fld id="{F894DE55-4C9A-40A9-8B94-542ED16A9002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E8-40A7-8A5D-9FC254B1DC2F}"/>
                </c:ext>
              </c:extLst>
            </c:dLbl>
            <c:dLbl>
              <c:idx val="1"/>
              <c:layout>
                <c:manualLayout>
                  <c:x val="-7.8782152230971125E-2"/>
                  <c:y val="-0.13471967045785943"/>
                </c:manualLayout>
              </c:layout>
              <c:tx>
                <c:rich>
                  <a:bodyPr/>
                  <a:lstStyle/>
                  <a:p>
                    <a:fld id="{299EE5E1-4923-4E52-9077-4BD382FF6559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; </a:t>
                    </a:r>
                    <a:fld id="{21E5128A-AB4B-44F2-A2E6-F1757586A589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AE8-40A7-8A5D-9FC254B1DC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Arkusz16!$E$7:$E$8</c:f>
              <c:strCache>
                <c:ptCount val="2"/>
                <c:pt idx="0">
                  <c:v>dotacje na zadania bieźące powiatowe</c:v>
                </c:pt>
                <c:pt idx="1">
                  <c:v>dotacje na zadania bieźące gminne</c:v>
                </c:pt>
              </c:strCache>
            </c:strRef>
          </c:cat>
          <c:val>
            <c:numRef>
              <c:f>Arkusz16!$F$7:$F$8</c:f>
              <c:numCache>
                <c:formatCode>General</c:formatCode>
                <c:ptCount val="2"/>
                <c:pt idx="0">
                  <c:v>37.43</c:v>
                </c:pt>
                <c:pt idx="1">
                  <c:v>62.57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E8-40A7-8A5D-9FC254B1DC2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Procentowe wykonanie dochodów z tytułu podatków i opłat lokalnych w 2025</a:t>
            </a:r>
            <a:endParaRPr lang="pl-PL" sz="1400" b="1" i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8.1526851397096492E-2"/>
          <c:y val="0.50409918604532411"/>
          <c:w val="0.87554893666460709"/>
          <c:h val="0.287919768783765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Arkusz1!$B$4</c:f>
              <c:strCache>
                <c:ptCount val="1"/>
                <c:pt idx="0">
                  <c:v>plan 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Arkusz1!$C$3:$H$3</c:f>
              <c:strCache>
                <c:ptCount val="3"/>
                <c:pt idx="0">
                  <c:v>podatki od os.fizycznych</c:v>
                </c:pt>
                <c:pt idx="1">
                  <c:v>podatki od os.prawnych</c:v>
                </c:pt>
                <c:pt idx="2">
                  <c:v>pozostałe podatki i opłaty lokalne</c:v>
                </c:pt>
              </c:strCache>
            </c:strRef>
          </c:cat>
          <c:val>
            <c:numRef>
              <c:f>Arkusz1!$C$4:$H$4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AA-4FCA-81E1-5FEECADB1BB5}"/>
            </c:ext>
          </c:extLst>
        </c:ser>
        <c:ser>
          <c:idx val="1"/>
          <c:order val="1"/>
          <c:tx>
            <c:strRef>
              <c:f>Arkusz1!$B$5</c:f>
              <c:strCache>
                <c:ptCount val="1"/>
                <c:pt idx="0">
                  <c:v>wykonanie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Arkusz1!$C$3:$H$3</c:f>
              <c:strCache>
                <c:ptCount val="3"/>
                <c:pt idx="0">
                  <c:v>podatki od os.fizycznych</c:v>
                </c:pt>
                <c:pt idx="1">
                  <c:v>podatki od os.prawnych</c:v>
                </c:pt>
                <c:pt idx="2">
                  <c:v>pozostałe podatki i opłaty lokalne</c:v>
                </c:pt>
              </c:strCache>
            </c:strRef>
          </c:cat>
          <c:val>
            <c:numRef>
              <c:f>Arkusz1!$C$5:$H$5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101.56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AA-4FCA-81E1-5FEECADB1BB5}"/>
            </c:ext>
          </c:extLst>
        </c:ser>
        <c:ser>
          <c:idx val="2"/>
          <c:order val="2"/>
          <c:tx>
            <c:strRef>
              <c:f>Arkusz1!$B$6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Arkusz1!$C$3:$H$3</c:f>
              <c:strCache>
                <c:ptCount val="3"/>
                <c:pt idx="0">
                  <c:v>podatki od os.fizycznych</c:v>
                </c:pt>
                <c:pt idx="1">
                  <c:v>podatki od os.prawnych</c:v>
                </c:pt>
                <c:pt idx="2">
                  <c:v>pozostałe podatki i opłaty lokalne</c:v>
                </c:pt>
              </c:strCache>
            </c:strRef>
          </c:cat>
          <c:val>
            <c:numRef>
              <c:f>Arkusz1!$C$6:$H$6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7BAA-4FCA-81E1-5FEECADB1B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80532223"/>
        <c:axId val="80532703"/>
      </c:barChart>
      <c:catAx>
        <c:axId val="80532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0532703"/>
        <c:crosses val="autoZero"/>
        <c:auto val="1"/>
        <c:lblAlgn val="ctr"/>
        <c:lblOffset val="100"/>
        <c:noMultiLvlLbl val="0"/>
      </c:catAx>
      <c:valAx>
        <c:axId val="805327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0532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Procentowe wykonanie wydatków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Arkusz2!$B$6</c:f>
              <c:strCache>
                <c:ptCount val="1"/>
                <c:pt idx="0">
                  <c:v>plan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Arkusz2!$C$5:$E$5</c:f>
              <c:strCache>
                <c:ptCount val="2"/>
                <c:pt idx="0">
                  <c:v>wydatki bieżące</c:v>
                </c:pt>
                <c:pt idx="1">
                  <c:v>wydatki majątkowe</c:v>
                </c:pt>
              </c:strCache>
            </c:strRef>
          </c:cat>
          <c:val>
            <c:numRef>
              <c:f>Arkusz2!$C$6:$E$6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3A-4CFC-A6E2-ED22FD78CDD2}"/>
            </c:ext>
          </c:extLst>
        </c:ser>
        <c:ser>
          <c:idx val="1"/>
          <c:order val="1"/>
          <c:tx>
            <c:strRef>
              <c:f>Arkusz2!$B$7</c:f>
              <c:strCache>
                <c:ptCount val="1"/>
                <c:pt idx="0">
                  <c:v>wykonanie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70,71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94A-4A49-852C-4E892F3908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Arkusz2!$C$5:$E$5</c:f>
              <c:strCache>
                <c:ptCount val="2"/>
                <c:pt idx="0">
                  <c:v>wydatki bieżące</c:v>
                </c:pt>
                <c:pt idx="1">
                  <c:v>wydatki majątkowe</c:v>
                </c:pt>
              </c:strCache>
            </c:strRef>
          </c:cat>
          <c:val>
            <c:numRef>
              <c:f>Arkusz2!$C$7:$E$7</c:f>
              <c:numCache>
                <c:formatCode>General</c:formatCode>
                <c:ptCount val="3"/>
                <c:pt idx="0" formatCode="0.00">
                  <c:v>92.66</c:v>
                </c:pt>
                <c:pt idx="1">
                  <c:v>71.040000000000006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3A-4CFC-A6E2-ED22FD78CD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7877247"/>
        <c:axId val="87883487"/>
      </c:barChart>
      <c:catAx>
        <c:axId val="87877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7883487"/>
        <c:crosses val="autoZero"/>
        <c:auto val="1"/>
        <c:lblAlgn val="ctr"/>
        <c:lblOffset val="100"/>
        <c:noMultiLvlLbl val="0"/>
      </c:catAx>
      <c:valAx>
        <c:axId val="878834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7877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Bookman Old Style" panose="02050604050505020204" pitchFamily="18" charset="0"/>
              </a:rPr>
              <a:t>Struktura</a:t>
            </a:r>
            <a:r>
              <a:rPr lang="pl-PL" b="1">
                <a:latin typeface="Bookman Old Style" panose="02050604050505020204" pitchFamily="18" charset="0"/>
              </a:rPr>
              <a:t> wydatków bieżących w roku 2025</a:t>
            </a:r>
            <a:r>
              <a:rPr lang="en-US" b="1">
                <a:latin typeface="Bookman Old Style" panose="02050604050505020204" pitchFamily="18" charset="0"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012-4ACA-BEE3-8B09994F5D24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012-4ACA-BEE3-8B09994F5D2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012-4ACA-BEE3-8B09994F5D24}"/>
              </c:ext>
            </c:extLst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012-4ACA-BEE3-8B09994F5D24}"/>
              </c:ext>
            </c:extLst>
          </c:dPt>
          <c:dPt>
            <c:idx val="5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012-4ACA-BEE3-8B09994F5D24}"/>
              </c:ext>
            </c:extLst>
          </c:dPt>
          <c:dPt>
            <c:idx val="7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012-4ACA-BEE3-8B09994F5D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Arkusz15!$C$3:$C$10</c:f>
              <c:strCache>
                <c:ptCount val="8"/>
                <c:pt idx="0">
                  <c:v>energia</c:v>
                </c:pt>
                <c:pt idx="1">
                  <c:v>remonty</c:v>
                </c:pt>
                <c:pt idx="2">
                  <c:v>świadczenia </c:v>
                </c:pt>
                <c:pt idx="3">
                  <c:v>usługi</c:v>
                </c:pt>
                <c:pt idx="4">
                  <c:v>dotacje</c:v>
                </c:pt>
                <c:pt idx="5">
                  <c:v>pozostałe</c:v>
                </c:pt>
                <c:pt idx="6">
                  <c:v>środki UE</c:v>
                </c:pt>
                <c:pt idx="7">
                  <c:v>fundusz płac</c:v>
                </c:pt>
              </c:strCache>
            </c:strRef>
          </c:cat>
          <c:val>
            <c:numRef>
              <c:f>Arkusz15!$D$3:$D$10</c:f>
              <c:numCache>
                <c:formatCode>General</c:formatCode>
                <c:ptCount val="8"/>
                <c:pt idx="0">
                  <c:v>2.98</c:v>
                </c:pt>
                <c:pt idx="1">
                  <c:v>2.42</c:v>
                </c:pt>
                <c:pt idx="2">
                  <c:v>4.26</c:v>
                </c:pt>
                <c:pt idx="3">
                  <c:v>16.05</c:v>
                </c:pt>
                <c:pt idx="4">
                  <c:v>15.35</c:v>
                </c:pt>
                <c:pt idx="5">
                  <c:v>19.149999999999999</c:v>
                </c:pt>
                <c:pt idx="6">
                  <c:v>1.28</c:v>
                </c:pt>
                <c:pt idx="7">
                  <c:v>38.51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012-4ACA-BEE3-8B09994F5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87141695"/>
        <c:axId val="387165215"/>
      </c:barChart>
      <c:catAx>
        <c:axId val="387141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7165215"/>
        <c:crosses val="autoZero"/>
        <c:auto val="1"/>
        <c:lblAlgn val="ctr"/>
        <c:lblOffset val="100"/>
        <c:noMultiLvlLbl val="0"/>
      </c:catAx>
      <c:valAx>
        <c:axId val="387165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7141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Procentowa struktura zrealizowanych w 2025 r. wydatków majątkowych</a:t>
            </a:r>
          </a:p>
        </c:rich>
      </c:tx>
      <c:layout>
        <c:manualLayout>
          <c:xMode val="edge"/>
          <c:yMode val="edge"/>
          <c:x val="0.12861975065616799"/>
          <c:y val="2.10526315789473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588118375091673"/>
          <c:y val="0.26287953952136678"/>
          <c:w val="0.36546139993414839"/>
          <c:h val="0.6388879272128517"/>
        </c:manualLayout>
      </c:layout>
      <c:pieChart>
        <c:varyColors val="1"/>
        <c:ser>
          <c:idx val="0"/>
          <c:order val="0"/>
          <c:tx>
            <c:strRef>
              <c:f>Arkusz18!$B$8</c:f>
              <c:strCache>
                <c:ptCount val="1"/>
                <c:pt idx="0">
                  <c:v>Procentowa struktura zrealizowanych w 2025 r. wydatków majątkowych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E05-42F5-AEC9-B97100579B1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E05-42F5-AEC9-B97100579B1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E05-42F5-AEC9-B97100579B1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E05-42F5-AEC9-B97100579B1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E05-42F5-AEC9-B97100579B1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E05-42F5-AEC9-B97100579B1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E05-42F5-AEC9-B97100579B1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E05-42F5-AEC9-B97100579B1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E05-42F5-AEC9-B97100579B11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6E05-42F5-AEC9-B97100579B11}"/>
              </c:ext>
            </c:extLst>
          </c:dPt>
          <c:dLbls>
            <c:dLbl>
              <c:idx val="0"/>
              <c:layout>
                <c:manualLayout>
                  <c:x val="-1.1981115996864028E-2"/>
                  <c:y val="4.301284707832573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05-42F5-AEC9-B97100579B11}"/>
                </c:ext>
              </c:extLst>
            </c:dLbl>
            <c:dLbl>
              <c:idx val="1"/>
              <c:layout>
                <c:manualLayout>
                  <c:x val="4.2222875549647203E-2"/>
                  <c:y val="-0.121867384997927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05-42F5-AEC9-B97100579B11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7540128821184"/>
                      <c:h val="0.159964253798033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6E05-42F5-AEC9-B97100579B11}"/>
                </c:ext>
              </c:extLst>
            </c:dLbl>
            <c:dLbl>
              <c:idx val="6"/>
              <c:layout>
                <c:manualLayout>
                  <c:x val="8.4566417834134374E-3"/>
                  <c:y val="2.869457107335267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E05-42F5-AEC9-B97100579B11}"/>
                </c:ext>
              </c:extLst>
            </c:dLbl>
            <c:dLbl>
              <c:idx val="8"/>
              <c:layout>
                <c:manualLayout>
                  <c:x val="-4.2488495756212309E-2"/>
                  <c:y val="-7.51070589860478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E05-42F5-AEC9-B97100579B11}"/>
                </c:ext>
              </c:extLst>
            </c:dLbl>
            <c:dLbl>
              <c:idx val="9"/>
              <c:layout>
                <c:manualLayout>
                  <c:x val="0.10133159491427209"/>
                  <c:y val="-9.923470092554219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E05-42F5-AEC9-B97100579B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Arkusz18!$A$9:$A$18</c:f>
              <c:strCache>
                <c:ptCount val="10"/>
                <c:pt idx="0">
                  <c:v>transport i łączność </c:v>
                </c:pt>
                <c:pt idx="1">
                  <c:v>gospodarka mieszkaniowa</c:v>
                </c:pt>
                <c:pt idx="2">
                  <c:v>administracja publiczna</c:v>
                </c:pt>
                <c:pt idx="3">
                  <c:v>bezpieczeństwo publiczne</c:v>
                </c:pt>
                <c:pt idx="4">
                  <c:v>oświata i wychowanie</c:v>
                </c:pt>
                <c:pt idx="5">
                  <c:v>ochrona zdrowia, pomoc społeczna, rodzina</c:v>
                </c:pt>
                <c:pt idx="6">
                  <c:v>gospodarka komunalna</c:v>
                </c:pt>
                <c:pt idx="7">
                  <c:v>kultura fizyczna i sport </c:v>
                </c:pt>
                <c:pt idx="8">
                  <c:v>pozostała działalność </c:v>
                </c:pt>
                <c:pt idx="9">
                  <c:v>kultura i ochrona dziedzictwa</c:v>
                </c:pt>
              </c:strCache>
            </c:strRef>
          </c:cat>
          <c:val>
            <c:numRef>
              <c:f>Arkusz18!$B$9:$B$18</c:f>
              <c:numCache>
                <c:formatCode>#,##0.00</c:formatCode>
                <c:ptCount val="10"/>
                <c:pt idx="0" formatCode="General">
                  <c:v>31.82</c:v>
                </c:pt>
                <c:pt idx="1">
                  <c:v>16.2</c:v>
                </c:pt>
                <c:pt idx="2" formatCode="General">
                  <c:v>0.31</c:v>
                </c:pt>
                <c:pt idx="3" formatCode="General">
                  <c:v>0.86</c:v>
                </c:pt>
                <c:pt idx="4" formatCode="General">
                  <c:v>3.8</c:v>
                </c:pt>
                <c:pt idx="5" formatCode="General">
                  <c:v>8.27</c:v>
                </c:pt>
                <c:pt idx="6" formatCode="General">
                  <c:v>29.32</c:v>
                </c:pt>
                <c:pt idx="7" formatCode="General">
                  <c:v>4.5199999999999996</c:v>
                </c:pt>
                <c:pt idx="8" formatCode="General">
                  <c:v>2.36</c:v>
                </c:pt>
                <c:pt idx="9" formatCode="General">
                  <c:v>2.54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E05-42F5-AEC9-B97100579B11}"/>
            </c:ext>
          </c:extLst>
        </c:ser>
        <c:ser>
          <c:idx val="1"/>
          <c:order val="1"/>
          <c:tx>
            <c:strRef>
              <c:f>Arkusz18!$C$8</c:f>
              <c:strCache>
                <c:ptCount val="1"/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6E05-42F5-AEC9-B97100579B1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6E05-42F5-AEC9-B97100579B1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6E05-42F5-AEC9-B97100579B1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6E05-42F5-AEC9-B97100579B1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6E05-42F5-AEC9-B97100579B1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6E05-42F5-AEC9-B97100579B1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6E05-42F5-AEC9-B97100579B1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6E05-42F5-AEC9-B97100579B1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6E05-42F5-AEC9-B97100579B11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6E05-42F5-AEC9-B97100579B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Arkusz18!$A$9:$A$18</c:f>
              <c:strCache>
                <c:ptCount val="10"/>
                <c:pt idx="0">
                  <c:v>transport i łączność </c:v>
                </c:pt>
                <c:pt idx="1">
                  <c:v>gospodarka mieszkaniowa</c:v>
                </c:pt>
                <c:pt idx="2">
                  <c:v>administracja publiczna</c:v>
                </c:pt>
                <c:pt idx="3">
                  <c:v>bezpieczeństwo publiczne</c:v>
                </c:pt>
                <c:pt idx="4">
                  <c:v>oświata i wychowanie</c:v>
                </c:pt>
                <c:pt idx="5">
                  <c:v>ochrona zdrowia, pomoc społeczna, rodzina</c:v>
                </c:pt>
                <c:pt idx="6">
                  <c:v>gospodarka komunalna</c:v>
                </c:pt>
                <c:pt idx="7">
                  <c:v>kultura fizyczna i sport </c:v>
                </c:pt>
                <c:pt idx="8">
                  <c:v>pozostała działalność </c:v>
                </c:pt>
                <c:pt idx="9">
                  <c:v>kultura i ochrona dziedzictwa</c:v>
                </c:pt>
              </c:strCache>
            </c:strRef>
          </c:cat>
          <c:val>
            <c:numRef>
              <c:f>Arkusz18!$C$9:$C$18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29-6E05-42F5-AEC9-B97100579B11}"/>
            </c:ext>
          </c:extLst>
        </c:ser>
        <c:ser>
          <c:idx val="2"/>
          <c:order val="2"/>
          <c:tx>
            <c:strRef>
              <c:f>Arkusz18!$D$8</c:f>
              <c:strCache>
                <c:ptCount val="1"/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6E05-42F5-AEC9-B97100579B1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6E05-42F5-AEC9-B97100579B1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6E05-42F5-AEC9-B97100579B1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6E05-42F5-AEC9-B97100579B1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6E05-42F5-AEC9-B97100579B1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6E05-42F5-AEC9-B97100579B1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6E05-42F5-AEC9-B97100579B1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6E05-42F5-AEC9-B97100579B1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6E05-42F5-AEC9-B97100579B11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6E05-42F5-AEC9-B97100579B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Arkusz18!$A$9:$A$18</c:f>
              <c:strCache>
                <c:ptCount val="10"/>
                <c:pt idx="0">
                  <c:v>transport i łączność </c:v>
                </c:pt>
                <c:pt idx="1">
                  <c:v>gospodarka mieszkaniowa</c:v>
                </c:pt>
                <c:pt idx="2">
                  <c:v>administracja publiczna</c:v>
                </c:pt>
                <c:pt idx="3">
                  <c:v>bezpieczeństwo publiczne</c:v>
                </c:pt>
                <c:pt idx="4">
                  <c:v>oświata i wychowanie</c:v>
                </c:pt>
                <c:pt idx="5">
                  <c:v>ochrona zdrowia, pomoc społeczna, rodzina</c:v>
                </c:pt>
                <c:pt idx="6">
                  <c:v>gospodarka komunalna</c:v>
                </c:pt>
                <c:pt idx="7">
                  <c:v>kultura fizyczna i sport </c:v>
                </c:pt>
                <c:pt idx="8">
                  <c:v>pozostała działalność </c:v>
                </c:pt>
                <c:pt idx="9">
                  <c:v>kultura i ochrona dziedzictwa</c:v>
                </c:pt>
              </c:strCache>
            </c:strRef>
          </c:cat>
          <c:val>
            <c:numRef>
              <c:f>Arkusz18!$D$9:$D$18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3E-6E05-42F5-AEC9-B97100579B11}"/>
            </c:ext>
          </c:extLst>
        </c:ser>
        <c:ser>
          <c:idx val="3"/>
          <c:order val="3"/>
          <c:tx>
            <c:strRef>
              <c:f>Arkusz18!$E$8</c:f>
              <c:strCache>
                <c:ptCount val="1"/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0-6E05-42F5-AEC9-B97100579B1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6E05-42F5-AEC9-B97100579B1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6E05-42F5-AEC9-B97100579B1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6-6E05-42F5-AEC9-B97100579B1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8-6E05-42F5-AEC9-B97100579B1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A-6E05-42F5-AEC9-B97100579B1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C-6E05-42F5-AEC9-B97100579B1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E-6E05-42F5-AEC9-B97100579B1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0-6E05-42F5-AEC9-B97100579B11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2-6E05-42F5-AEC9-B97100579B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Arkusz18!$A$9:$A$18</c:f>
              <c:strCache>
                <c:ptCount val="10"/>
                <c:pt idx="0">
                  <c:v>transport i łączność </c:v>
                </c:pt>
                <c:pt idx="1">
                  <c:v>gospodarka mieszkaniowa</c:v>
                </c:pt>
                <c:pt idx="2">
                  <c:v>administracja publiczna</c:v>
                </c:pt>
                <c:pt idx="3">
                  <c:v>bezpieczeństwo publiczne</c:v>
                </c:pt>
                <c:pt idx="4">
                  <c:v>oświata i wychowanie</c:v>
                </c:pt>
                <c:pt idx="5">
                  <c:v>ochrona zdrowia, pomoc społeczna, rodzina</c:v>
                </c:pt>
                <c:pt idx="6">
                  <c:v>gospodarka komunalna</c:v>
                </c:pt>
                <c:pt idx="7">
                  <c:v>kultura fizyczna i sport </c:v>
                </c:pt>
                <c:pt idx="8">
                  <c:v>pozostała działalność </c:v>
                </c:pt>
                <c:pt idx="9">
                  <c:v>kultura i ochrona dziedzictwa</c:v>
                </c:pt>
              </c:strCache>
            </c:strRef>
          </c:cat>
          <c:val>
            <c:numRef>
              <c:f>Arkusz18!$E$9:$E$18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53-6E05-42F5-AEC9-B97100579B11}"/>
            </c:ext>
          </c:extLst>
        </c:ser>
        <c:ser>
          <c:idx val="4"/>
          <c:order val="4"/>
          <c:tx>
            <c:strRef>
              <c:f>Arkusz18!$F$8</c:f>
              <c:strCache>
                <c:ptCount val="1"/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6E05-42F5-AEC9-B97100579B1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6E05-42F5-AEC9-B97100579B1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6E05-42F5-AEC9-B97100579B1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B-6E05-42F5-AEC9-B97100579B1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D-6E05-42F5-AEC9-B97100579B1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F-6E05-42F5-AEC9-B97100579B1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1-6E05-42F5-AEC9-B97100579B1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3-6E05-42F5-AEC9-B97100579B1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5-6E05-42F5-AEC9-B97100579B11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7-6E05-42F5-AEC9-B97100579B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Arkusz18!$A$9:$A$18</c:f>
              <c:strCache>
                <c:ptCount val="10"/>
                <c:pt idx="0">
                  <c:v>transport i łączność </c:v>
                </c:pt>
                <c:pt idx="1">
                  <c:v>gospodarka mieszkaniowa</c:v>
                </c:pt>
                <c:pt idx="2">
                  <c:v>administracja publiczna</c:v>
                </c:pt>
                <c:pt idx="3">
                  <c:v>bezpieczeństwo publiczne</c:v>
                </c:pt>
                <c:pt idx="4">
                  <c:v>oświata i wychowanie</c:v>
                </c:pt>
                <c:pt idx="5">
                  <c:v>ochrona zdrowia, pomoc społeczna, rodzina</c:v>
                </c:pt>
                <c:pt idx="6">
                  <c:v>gospodarka komunalna</c:v>
                </c:pt>
                <c:pt idx="7">
                  <c:v>kultura fizyczna i sport </c:v>
                </c:pt>
                <c:pt idx="8">
                  <c:v>pozostała działalność </c:v>
                </c:pt>
                <c:pt idx="9">
                  <c:v>kultura i ochrona dziedzictwa</c:v>
                </c:pt>
              </c:strCache>
            </c:strRef>
          </c:cat>
          <c:val>
            <c:numRef>
              <c:f>Arkusz18!$F$9:$F$18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68-6E05-42F5-AEC9-B97100579B11}"/>
            </c:ext>
          </c:extLst>
        </c:ser>
        <c:ser>
          <c:idx val="5"/>
          <c:order val="5"/>
          <c:tx>
            <c:strRef>
              <c:f>Arkusz18!$G$8</c:f>
              <c:strCache>
                <c:ptCount val="1"/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A-6E05-42F5-AEC9-B97100579B1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C-6E05-42F5-AEC9-B97100579B1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E-6E05-42F5-AEC9-B97100579B1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0-6E05-42F5-AEC9-B97100579B1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2-6E05-42F5-AEC9-B97100579B1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4-6E05-42F5-AEC9-B97100579B1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6-6E05-42F5-AEC9-B97100579B1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8-6E05-42F5-AEC9-B97100579B1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A-6E05-42F5-AEC9-B97100579B11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C-6E05-42F5-AEC9-B97100579B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Arkusz18!$A$9:$A$18</c:f>
              <c:strCache>
                <c:ptCount val="10"/>
                <c:pt idx="0">
                  <c:v>transport i łączność </c:v>
                </c:pt>
                <c:pt idx="1">
                  <c:v>gospodarka mieszkaniowa</c:v>
                </c:pt>
                <c:pt idx="2">
                  <c:v>administracja publiczna</c:v>
                </c:pt>
                <c:pt idx="3">
                  <c:v>bezpieczeństwo publiczne</c:v>
                </c:pt>
                <c:pt idx="4">
                  <c:v>oświata i wychowanie</c:v>
                </c:pt>
                <c:pt idx="5">
                  <c:v>ochrona zdrowia, pomoc społeczna, rodzina</c:v>
                </c:pt>
                <c:pt idx="6">
                  <c:v>gospodarka komunalna</c:v>
                </c:pt>
                <c:pt idx="7">
                  <c:v>kultura fizyczna i sport </c:v>
                </c:pt>
                <c:pt idx="8">
                  <c:v>pozostała działalność </c:v>
                </c:pt>
                <c:pt idx="9">
                  <c:v>kultura i ochrona dziedzictwa</c:v>
                </c:pt>
              </c:strCache>
            </c:strRef>
          </c:cat>
          <c:val>
            <c:numRef>
              <c:f>Arkusz18!$G$9:$G$18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7D-6E05-42F5-AEC9-B97100579B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885877901625934"/>
          <c:y val="0.21391794446746787"/>
          <c:w val="0.31815420799672767"/>
          <c:h val="0.6951816549247134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AF0C-13A7-4A5C-906A-849F6166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32363</TotalTime>
  <Pages>18</Pages>
  <Words>4945</Words>
  <Characters>29676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WYKONANIE BUDŻETU MIASTA SOPOTU</vt:lpstr>
    </vt:vector>
  </TitlesOfParts>
  <Company>UMSOPOT</Company>
  <LinksUpToDate>false</LinksUpToDate>
  <CharactersWithSpaces>34552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BUDŻETU MIASTA SOPOTU</dc:title>
  <dc:subject/>
  <dc:creator>Administrator</dc:creator>
  <cp:keywords/>
  <dc:description/>
  <cp:lastModifiedBy>Mirosław Goślicki</cp:lastModifiedBy>
  <cp:revision>301</cp:revision>
  <cp:lastPrinted>2026-03-30T08:09:00Z</cp:lastPrinted>
  <dcterms:created xsi:type="dcterms:W3CDTF">2014-01-15T09:43:00Z</dcterms:created>
  <dcterms:modified xsi:type="dcterms:W3CDTF">2026-04-01T10:16:00Z</dcterms:modified>
</cp:coreProperties>
</file>